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F8210" w14:textId="77777777" w:rsidR="00823D6B" w:rsidRDefault="00823D6B" w:rsidP="00EC2F4F">
      <w:pPr>
        <w:ind w:left="2124" w:firstLine="708"/>
        <w:rPr>
          <w:rFonts w:ascii="Arial" w:hAnsi="Arial" w:cs="Arial"/>
          <w:b/>
          <w:szCs w:val="24"/>
        </w:rPr>
      </w:pPr>
    </w:p>
    <w:p w14:paraId="4032D58F" w14:textId="77777777" w:rsidR="00823D6B" w:rsidRDefault="00823D6B" w:rsidP="00EC2F4F">
      <w:pPr>
        <w:ind w:left="2124" w:firstLine="708"/>
        <w:rPr>
          <w:rFonts w:ascii="Arial" w:hAnsi="Arial" w:cs="Arial"/>
          <w:b/>
          <w:szCs w:val="24"/>
        </w:rPr>
      </w:pPr>
    </w:p>
    <w:p w14:paraId="699AA4CD" w14:textId="77777777" w:rsidR="00823D6B" w:rsidRDefault="00823D6B" w:rsidP="00EC2F4F">
      <w:pPr>
        <w:ind w:left="2124" w:firstLine="708"/>
        <w:rPr>
          <w:rFonts w:ascii="Arial" w:hAnsi="Arial" w:cs="Arial"/>
          <w:b/>
          <w:szCs w:val="24"/>
        </w:rPr>
      </w:pPr>
    </w:p>
    <w:p w14:paraId="5091CDBC" w14:textId="29218134" w:rsidR="00EC2F4F" w:rsidRDefault="00ED7EEE" w:rsidP="00B146F6">
      <w:pPr>
        <w:rPr>
          <w:rFonts w:ascii="Arial" w:hAnsi="Arial" w:cs="Arial"/>
          <w:szCs w:val="24"/>
        </w:rPr>
      </w:pPr>
      <w:bookmarkStart w:id="0" w:name="_GoBack"/>
      <w:bookmarkEnd w:id="0"/>
      <w:r>
        <w:rPr>
          <w:rFonts w:ascii="Arial" w:hAnsi="Arial" w:cs="Arial"/>
          <w:b/>
          <w:szCs w:val="24"/>
        </w:rPr>
        <w:t xml:space="preserve">PROPOSIÇÃO DE </w:t>
      </w:r>
      <w:r w:rsidR="00EC2F4F" w:rsidRPr="00892B31">
        <w:rPr>
          <w:rFonts w:ascii="Arial" w:hAnsi="Arial" w:cs="Arial"/>
          <w:b/>
          <w:szCs w:val="24"/>
        </w:rPr>
        <w:t>MOÇÃO Nº 0</w:t>
      </w:r>
      <w:r w:rsidR="00B146F6">
        <w:rPr>
          <w:rFonts w:ascii="Arial" w:hAnsi="Arial" w:cs="Arial"/>
          <w:b/>
          <w:szCs w:val="24"/>
        </w:rPr>
        <w:t>0</w:t>
      </w:r>
      <w:r w:rsidR="00433E7C">
        <w:rPr>
          <w:rFonts w:ascii="Arial" w:hAnsi="Arial" w:cs="Arial"/>
          <w:b/>
          <w:szCs w:val="24"/>
        </w:rPr>
        <w:t>1</w:t>
      </w:r>
      <w:r w:rsidR="00EC2F4F" w:rsidRPr="00892B31">
        <w:rPr>
          <w:rFonts w:ascii="Arial" w:hAnsi="Arial" w:cs="Arial"/>
          <w:b/>
          <w:szCs w:val="24"/>
        </w:rPr>
        <w:t>/202</w:t>
      </w:r>
      <w:r w:rsidR="00433E7C">
        <w:rPr>
          <w:rFonts w:ascii="Arial" w:hAnsi="Arial" w:cs="Arial"/>
          <w:b/>
          <w:szCs w:val="24"/>
        </w:rPr>
        <w:t>3</w:t>
      </w:r>
      <w:r w:rsidR="00EC2F4F" w:rsidRPr="00892B31">
        <w:rPr>
          <w:rFonts w:ascii="Arial" w:hAnsi="Arial" w:cs="Arial"/>
          <w:szCs w:val="24"/>
        </w:rPr>
        <w:t>.</w:t>
      </w:r>
    </w:p>
    <w:p w14:paraId="048E8403" w14:textId="77777777" w:rsidR="00EC2F4F" w:rsidRDefault="00EC2F4F" w:rsidP="00EC2F4F">
      <w:pPr>
        <w:ind w:left="2124" w:firstLine="708"/>
        <w:rPr>
          <w:rFonts w:ascii="Arial" w:hAnsi="Arial" w:cs="Arial"/>
          <w:szCs w:val="24"/>
        </w:rPr>
      </w:pPr>
    </w:p>
    <w:p w14:paraId="19437771" w14:textId="185E2B7B" w:rsidR="00DB509A" w:rsidRPr="00DB509A" w:rsidRDefault="00EC2F4F" w:rsidP="00DB509A">
      <w:pPr>
        <w:spacing w:line="240" w:lineRule="auto"/>
        <w:ind w:left="4956"/>
        <w:jc w:val="both"/>
        <w:rPr>
          <w:rFonts w:ascii="Arial" w:hAnsi="Arial" w:cs="Arial"/>
        </w:rPr>
      </w:pPr>
      <w:r w:rsidRPr="00640A3C">
        <w:rPr>
          <w:rFonts w:ascii="Arial" w:hAnsi="Arial" w:cs="Arial"/>
        </w:rPr>
        <w:t xml:space="preserve">Moção </w:t>
      </w:r>
      <w:r w:rsidR="00DB509A" w:rsidRPr="00DB509A">
        <w:rPr>
          <w:rFonts w:ascii="Arial" w:hAnsi="Arial" w:cs="Arial"/>
        </w:rPr>
        <w:t xml:space="preserve">de repúdio ao Decreto nº 11.366, de 1º de janeiro de 2023, </w:t>
      </w:r>
      <w:r w:rsidR="00DB509A" w:rsidRPr="00DB509A">
        <w:rPr>
          <w:rFonts w:ascii="Arial" w:hAnsi="Arial" w:cs="Arial"/>
          <w:i/>
          <w:iCs/>
        </w:rPr>
        <w:t>que suspende os registros para a aquisição e transferência de armas e de munições de uso restrito por caçadores,  colecionadores, atiradores e particulares, restringe os quantitativos de aquisição de armas e de munições de uso permitido, suspende a concessão de novos registros de clubes e de escolas de tiro, suspende a concessão de novos registros de colecionadores, de atiradores e de caçadores, e institui grupo de trabalho para apresentar nova regulamentação à Lei nº 10.826, de 22 de dezembro de 2003.</w:t>
      </w:r>
    </w:p>
    <w:p w14:paraId="2948E576" w14:textId="77777777" w:rsidR="00EC2F4F" w:rsidRPr="00892B31" w:rsidRDefault="00EC2F4F" w:rsidP="00EC2F4F">
      <w:pPr>
        <w:ind w:firstLine="708"/>
        <w:jc w:val="both"/>
        <w:rPr>
          <w:rFonts w:ascii="Arial" w:hAnsi="Arial" w:cs="Arial"/>
          <w:b/>
          <w:szCs w:val="24"/>
        </w:rPr>
      </w:pPr>
    </w:p>
    <w:p w14:paraId="47132AE9" w14:textId="3DEC5921" w:rsidR="00DB509A" w:rsidRPr="00DB509A" w:rsidRDefault="00EC2F4F" w:rsidP="00DB509A">
      <w:pPr>
        <w:ind w:firstLine="708"/>
        <w:jc w:val="both"/>
        <w:rPr>
          <w:rFonts w:ascii="Arial" w:hAnsi="Arial" w:cs="Arial"/>
          <w:bCs/>
          <w:szCs w:val="24"/>
        </w:rPr>
      </w:pPr>
      <w:r w:rsidRPr="00892B31">
        <w:rPr>
          <w:rFonts w:ascii="Arial" w:hAnsi="Arial" w:cs="Arial"/>
          <w:szCs w:val="24"/>
        </w:rPr>
        <w:t xml:space="preserve">Com base no Artigo 160 do Regimento Interno desta Casa, os Vereadores que </w:t>
      </w:r>
      <w:proofErr w:type="gramStart"/>
      <w:r w:rsidRPr="00892B31">
        <w:rPr>
          <w:rFonts w:ascii="Arial" w:hAnsi="Arial" w:cs="Arial"/>
          <w:szCs w:val="24"/>
        </w:rPr>
        <w:t>esta subscrevem</w:t>
      </w:r>
      <w:proofErr w:type="gramEnd"/>
      <w:r w:rsidRPr="00892B31">
        <w:rPr>
          <w:rFonts w:ascii="Arial" w:hAnsi="Arial" w:cs="Arial"/>
          <w:szCs w:val="24"/>
        </w:rPr>
        <w:t>, vêm respeitosamente, apresentar </w:t>
      </w:r>
      <w:r w:rsidRPr="00892B31">
        <w:rPr>
          <w:rFonts w:ascii="Arial" w:hAnsi="Arial" w:cs="Arial"/>
          <w:b/>
          <w:bCs/>
          <w:szCs w:val="24"/>
          <w:u w:val="single"/>
        </w:rPr>
        <w:t>MOÇÃO</w:t>
      </w:r>
      <w:r w:rsidRPr="00892B31">
        <w:rPr>
          <w:rFonts w:ascii="Arial" w:hAnsi="Arial" w:cs="Arial"/>
          <w:szCs w:val="24"/>
          <w:u w:val="single"/>
        </w:rPr>
        <w:t> </w:t>
      </w:r>
      <w:r w:rsidRPr="00D41469">
        <w:rPr>
          <w:rFonts w:ascii="Arial" w:hAnsi="Arial" w:cs="Arial"/>
          <w:b/>
          <w:bCs/>
          <w:szCs w:val="24"/>
          <w:u w:val="single"/>
        </w:rPr>
        <w:t>DE </w:t>
      </w:r>
      <w:r w:rsidR="00DB509A">
        <w:rPr>
          <w:rFonts w:ascii="Arial" w:hAnsi="Arial" w:cs="Arial"/>
          <w:b/>
          <w:bCs/>
          <w:szCs w:val="24"/>
          <w:u w:val="single"/>
        </w:rPr>
        <w:t>REPÚDIO</w:t>
      </w:r>
      <w:r>
        <w:rPr>
          <w:rFonts w:ascii="Arial" w:hAnsi="Arial" w:cs="Arial"/>
          <w:szCs w:val="24"/>
        </w:rPr>
        <w:t xml:space="preserve"> ao </w:t>
      </w:r>
      <w:r w:rsidR="00DB509A" w:rsidRPr="00DB509A">
        <w:rPr>
          <w:rFonts w:ascii="Arial" w:hAnsi="Arial" w:cs="Arial"/>
          <w:bCs/>
          <w:szCs w:val="24"/>
        </w:rPr>
        <w:t>Decreto Federal 11.366</w:t>
      </w:r>
      <w:r w:rsidR="00DB509A">
        <w:rPr>
          <w:rFonts w:ascii="Arial" w:hAnsi="Arial" w:cs="Arial"/>
          <w:bCs/>
          <w:szCs w:val="24"/>
        </w:rPr>
        <w:t>,</w:t>
      </w:r>
      <w:r w:rsidR="00DB509A" w:rsidRPr="00DB509A">
        <w:rPr>
          <w:rFonts w:ascii="Arial" w:hAnsi="Arial" w:cs="Arial"/>
          <w:bCs/>
          <w:szCs w:val="24"/>
        </w:rPr>
        <w:t xml:space="preserve"> de 1º janeiro de 2023.</w:t>
      </w:r>
    </w:p>
    <w:p w14:paraId="1323CD48" w14:textId="77777777" w:rsidR="00EC2F4F" w:rsidRDefault="00EC2F4F" w:rsidP="00EC2F4F">
      <w:pPr>
        <w:ind w:firstLine="708"/>
        <w:jc w:val="both"/>
        <w:rPr>
          <w:rFonts w:ascii="Arial" w:hAnsi="Arial" w:cs="Arial"/>
          <w:szCs w:val="24"/>
        </w:rPr>
      </w:pPr>
      <w:r w:rsidRPr="004375A0">
        <w:rPr>
          <w:rFonts w:ascii="Arial" w:hAnsi="Arial" w:cs="Arial"/>
          <w:szCs w:val="24"/>
        </w:rPr>
        <w:t>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5F8710DB" w14:textId="77777777" w:rsidR="00EC2F4F" w:rsidRPr="00892B31" w:rsidRDefault="00EC2F4F" w:rsidP="00EC2F4F">
      <w:pPr>
        <w:ind w:left="2832" w:firstLine="708"/>
        <w:jc w:val="both"/>
        <w:rPr>
          <w:rFonts w:ascii="Arial" w:hAnsi="Arial" w:cs="Arial"/>
          <w:b/>
          <w:szCs w:val="24"/>
        </w:rPr>
      </w:pPr>
      <w:r w:rsidRPr="00892B31">
        <w:rPr>
          <w:rFonts w:ascii="Arial" w:hAnsi="Arial" w:cs="Arial"/>
          <w:b/>
          <w:szCs w:val="24"/>
        </w:rPr>
        <w:t>JUSTIFICATIVA</w:t>
      </w:r>
    </w:p>
    <w:p w14:paraId="65E7A3EC" w14:textId="77777777" w:rsidR="00DB509A" w:rsidRPr="00DB509A" w:rsidRDefault="00DB509A" w:rsidP="00DB509A">
      <w:pPr>
        <w:ind w:firstLine="708"/>
        <w:jc w:val="both"/>
        <w:rPr>
          <w:rFonts w:ascii="Arial" w:hAnsi="Arial" w:cs="Arial"/>
          <w:szCs w:val="24"/>
        </w:rPr>
      </w:pPr>
      <w:r w:rsidRPr="00DB509A">
        <w:rPr>
          <w:rFonts w:ascii="Arial" w:hAnsi="Arial" w:cs="Arial"/>
          <w:szCs w:val="24"/>
        </w:rPr>
        <w:t>O Decreto nº 11.366, de 1º de janeiro de 2023, exorbita o poder regulamentar atribuído ao Poder Executivo.</w:t>
      </w:r>
    </w:p>
    <w:p w14:paraId="6425D093" w14:textId="77777777" w:rsidR="00823D6B" w:rsidRDefault="00DB509A" w:rsidP="00DB509A">
      <w:pPr>
        <w:ind w:firstLine="708"/>
        <w:jc w:val="both"/>
        <w:rPr>
          <w:rFonts w:ascii="Arial" w:hAnsi="Arial" w:cs="Arial"/>
          <w:szCs w:val="24"/>
        </w:rPr>
      </w:pPr>
      <w:r w:rsidRPr="00DB509A">
        <w:rPr>
          <w:rFonts w:ascii="Arial" w:hAnsi="Arial" w:cs="Arial"/>
          <w:szCs w:val="24"/>
        </w:rPr>
        <w:t xml:space="preserve">O Decreto fere diversos dispositivos constitucionais, em especial os Art. 170 e o Art. 217 da Constituição Federal, constituindo nítido cerceamento da liberdade econômica, impactando diretamente na atividade econômica legalmente desempenhada por cerca de 3,7 milhões de pessoas no país, entre comerciantes, instrutores, fabricantes, além de toda uma rede de serviços derivados que geram em arrecadações aproximadamente 4,7% do PIB nacional, cerceia expressamente a </w:t>
      </w:r>
    </w:p>
    <w:p w14:paraId="6586EE39" w14:textId="77777777" w:rsidR="00823D6B" w:rsidRDefault="00823D6B" w:rsidP="00DB509A">
      <w:pPr>
        <w:ind w:firstLine="708"/>
        <w:jc w:val="both"/>
        <w:rPr>
          <w:rFonts w:ascii="Arial" w:hAnsi="Arial" w:cs="Arial"/>
          <w:szCs w:val="24"/>
        </w:rPr>
      </w:pPr>
    </w:p>
    <w:p w14:paraId="056BBE47" w14:textId="77777777" w:rsidR="00823D6B" w:rsidRDefault="00823D6B" w:rsidP="00DB509A">
      <w:pPr>
        <w:ind w:firstLine="708"/>
        <w:jc w:val="both"/>
        <w:rPr>
          <w:rFonts w:ascii="Arial" w:hAnsi="Arial" w:cs="Arial"/>
          <w:szCs w:val="24"/>
        </w:rPr>
      </w:pPr>
    </w:p>
    <w:p w14:paraId="770C80BD" w14:textId="77777777" w:rsidR="00823D6B" w:rsidRDefault="00823D6B" w:rsidP="00DB509A">
      <w:pPr>
        <w:ind w:firstLine="708"/>
        <w:jc w:val="both"/>
        <w:rPr>
          <w:rFonts w:ascii="Arial" w:hAnsi="Arial" w:cs="Arial"/>
          <w:szCs w:val="24"/>
        </w:rPr>
      </w:pPr>
    </w:p>
    <w:p w14:paraId="02888B0D" w14:textId="116F5495" w:rsidR="00DB509A" w:rsidRPr="00DB509A" w:rsidRDefault="00DB509A" w:rsidP="00DB509A">
      <w:pPr>
        <w:ind w:firstLine="708"/>
        <w:jc w:val="both"/>
        <w:rPr>
          <w:rFonts w:ascii="Arial" w:hAnsi="Arial" w:cs="Arial"/>
          <w:szCs w:val="24"/>
        </w:rPr>
      </w:pPr>
      <w:proofErr w:type="gramStart"/>
      <w:r w:rsidRPr="00DB509A">
        <w:rPr>
          <w:rFonts w:ascii="Arial" w:hAnsi="Arial" w:cs="Arial"/>
          <w:szCs w:val="24"/>
        </w:rPr>
        <w:t>atividade</w:t>
      </w:r>
      <w:proofErr w:type="gramEnd"/>
      <w:r w:rsidRPr="00DB509A">
        <w:rPr>
          <w:rFonts w:ascii="Arial" w:hAnsi="Arial" w:cs="Arial"/>
          <w:szCs w:val="24"/>
        </w:rPr>
        <w:t xml:space="preserve"> de desporto legalmente constituída, como sendo de dever do Estado em fomentar práticas esportivas formais e não formais, impactando diretamente cerca de 1 milhão de atletas, devidamente cadastrados conforme  exigências legais previstas.</w:t>
      </w:r>
    </w:p>
    <w:p w14:paraId="4B4B1DEE" w14:textId="77777777" w:rsidR="00DB509A" w:rsidRPr="00DB509A" w:rsidRDefault="00DB509A" w:rsidP="00DB509A">
      <w:pPr>
        <w:ind w:firstLine="708"/>
        <w:jc w:val="both"/>
        <w:rPr>
          <w:rFonts w:ascii="Arial" w:hAnsi="Arial" w:cs="Arial"/>
          <w:szCs w:val="24"/>
        </w:rPr>
      </w:pPr>
      <w:r w:rsidRPr="00DB509A">
        <w:rPr>
          <w:rFonts w:ascii="Arial" w:hAnsi="Arial" w:cs="Arial"/>
          <w:szCs w:val="24"/>
        </w:rPr>
        <w:t>Não bastasse isso, o referido Decreto fere diretamente a Lei nº 10.826, de 22 de dezembro de 2003, que autoriza a aquisição de armas de fogo pela população civil, desde que cumpridas as exigências legais, violando, também, o Referendo Popular de 23 de outubro de 2005, quando 63,94% dos brasileiros votaram por manter o livre direito ao comercio de armas e munições de forma legal no Brasil.</w:t>
      </w:r>
    </w:p>
    <w:p w14:paraId="1BC813C0" w14:textId="77777777" w:rsidR="00DB509A" w:rsidRPr="00DB509A" w:rsidRDefault="00DB509A" w:rsidP="00DB509A">
      <w:pPr>
        <w:ind w:firstLine="708"/>
        <w:jc w:val="both"/>
        <w:rPr>
          <w:rFonts w:ascii="Arial" w:hAnsi="Arial" w:cs="Arial"/>
          <w:szCs w:val="24"/>
        </w:rPr>
      </w:pPr>
      <w:r w:rsidRPr="00DB509A">
        <w:rPr>
          <w:rFonts w:ascii="Arial" w:hAnsi="Arial" w:cs="Arial"/>
          <w:szCs w:val="24"/>
        </w:rPr>
        <w:t>Se mantido o Decreto 11.366/23, será o fim do Tiro desportivo no Brasil, esporte que justamente trouxe ao Brasil a primeira medalha em Jogos Olímpicos. Tal fato ocorreu nas Olimpíadas da Antuérpia, em 1920, onde o atleta Afrânio Antônio da Costa, conquistou a medalha de prata no tiro esportivo com pistola.</w:t>
      </w:r>
    </w:p>
    <w:p w14:paraId="65AA6086" w14:textId="77777777" w:rsidR="00DB509A" w:rsidRPr="00DB509A" w:rsidRDefault="00DB509A" w:rsidP="00DB509A">
      <w:pPr>
        <w:ind w:firstLine="708"/>
        <w:jc w:val="both"/>
        <w:rPr>
          <w:rFonts w:ascii="Arial" w:hAnsi="Arial" w:cs="Arial"/>
          <w:szCs w:val="24"/>
        </w:rPr>
      </w:pPr>
      <w:r w:rsidRPr="00DB509A">
        <w:rPr>
          <w:rFonts w:ascii="Arial" w:hAnsi="Arial" w:cs="Arial"/>
          <w:szCs w:val="24"/>
        </w:rPr>
        <w:t>Por demais, dentre as disposições, algumas colocam em xeque até as atividades de controle de fauna exótica invasora, previstos no Art. 225 da Constituição Federal. Isto para não dizer na afronta ao Art. 5º, II da Constituição Federal, ao obrigar o registro de armas em órgão incompetente, confrontando dispositivos da Lei 10.826/2003 e a hierarquia das normas.</w:t>
      </w:r>
    </w:p>
    <w:p w14:paraId="5445E239" w14:textId="77777777" w:rsidR="00DB509A" w:rsidRPr="00DB509A" w:rsidRDefault="00DB509A" w:rsidP="00DB509A">
      <w:pPr>
        <w:ind w:firstLine="708"/>
        <w:jc w:val="both"/>
        <w:rPr>
          <w:rFonts w:ascii="Arial" w:hAnsi="Arial" w:cs="Arial"/>
          <w:szCs w:val="24"/>
        </w:rPr>
      </w:pPr>
      <w:r w:rsidRPr="00DB509A">
        <w:rPr>
          <w:rFonts w:ascii="Arial" w:hAnsi="Arial" w:cs="Arial"/>
          <w:szCs w:val="24"/>
        </w:rPr>
        <w:t>Diante desse quadro, rogamos aos ilustres parlamentares que votem favoravelmente a Moção de repúdio do Decreto nº 11.366, de 2023 ora apresentado.</w:t>
      </w:r>
    </w:p>
    <w:p w14:paraId="03C68F70" w14:textId="3C7830D3" w:rsidR="00DB509A" w:rsidRPr="00DB509A" w:rsidRDefault="00EC2F4F" w:rsidP="00DB509A">
      <w:pPr>
        <w:pStyle w:val="Corpodetexto"/>
        <w:spacing w:before="176"/>
        <w:ind w:left="104" w:firstLine="604"/>
        <w:jc w:val="both"/>
        <w:rPr>
          <w:rFonts w:ascii="Arial" w:hAnsi="Arial" w:cs="Arial"/>
          <w:sz w:val="24"/>
          <w:szCs w:val="24"/>
        </w:rPr>
      </w:pPr>
      <w:r w:rsidRPr="00212BDC">
        <w:rPr>
          <w:rFonts w:ascii="Arial" w:hAnsi="Arial" w:cs="Arial"/>
          <w:sz w:val="24"/>
          <w:szCs w:val="24"/>
        </w:rPr>
        <w:t>Assim,</w:t>
      </w:r>
      <w:r w:rsidRPr="00212BDC">
        <w:rPr>
          <w:rFonts w:ascii="Arial" w:hAnsi="Arial" w:cs="Arial"/>
          <w:spacing w:val="-3"/>
          <w:sz w:val="24"/>
          <w:szCs w:val="24"/>
        </w:rPr>
        <w:t xml:space="preserve"> </w:t>
      </w:r>
      <w:r w:rsidRPr="00212BDC">
        <w:rPr>
          <w:rFonts w:ascii="Arial" w:hAnsi="Arial" w:cs="Arial"/>
          <w:sz w:val="24"/>
          <w:szCs w:val="24"/>
        </w:rPr>
        <w:t>se</w:t>
      </w:r>
      <w:r w:rsidRPr="00212BDC">
        <w:rPr>
          <w:rFonts w:ascii="Arial" w:hAnsi="Arial" w:cs="Arial"/>
          <w:spacing w:val="-5"/>
          <w:sz w:val="24"/>
          <w:szCs w:val="24"/>
        </w:rPr>
        <w:t xml:space="preserve"> </w:t>
      </w:r>
      <w:r w:rsidRPr="00212BDC">
        <w:rPr>
          <w:rFonts w:ascii="Arial" w:hAnsi="Arial" w:cs="Arial"/>
          <w:sz w:val="24"/>
          <w:szCs w:val="24"/>
        </w:rPr>
        <w:t>aprovada a presente Moção,</w:t>
      </w:r>
      <w:r w:rsidRPr="00212BDC">
        <w:rPr>
          <w:rFonts w:ascii="Arial" w:hAnsi="Arial" w:cs="Arial"/>
          <w:spacing w:val="-2"/>
          <w:sz w:val="24"/>
          <w:szCs w:val="24"/>
        </w:rPr>
        <w:t xml:space="preserve"> </w:t>
      </w:r>
      <w:r w:rsidRPr="00212BDC">
        <w:rPr>
          <w:rFonts w:ascii="Arial" w:hAnsi="Arial" w:cs="Arial"/>
          <w:sz w:val="24"/>
          <w:szCs w:val="24"/>
        </w:rPr>
        <w:t>REQUER</w:t>
      </w:r>
      <w:r w:rsidR="00DB509A">
        <w:rPr>
          <w:rFonts w:ascii="Arial" w:hAnsi="Arial" w:cs="Arial"/>
          <w:sz w:val="24"/>
          <w:szCs w:val="24"/>
        </w:rPr>
        <w:t xml:space="preserve"> </w:t>
      </w:r>
      <w:r w:rsidR="00DB509A" w:rsidRPr="00DB509A">
        <w:rPr>
          <w:rFonts w:ascii="Arial" w:hAnsi="Arial" w:cs="Arial"/>
          <w:sz w:val="24"/>
          <w:szCs w:val="24"/>
          <w:lang w:val="pt-BR"/>
        </w:rPr>
        <w:t>sej</w:t>
      </w:r>
      <w:r w:rsidR="00DB509A">
        <w:rPr>
          <w:rFonts w:ascii="Arial" w:hAnsi="Arial" w:cs="Arial"/>
          <w:sz w:val="24"/>
          <w:szCs w:val="24"/>
          <w:lang w:val="pt-BR"/>
        </w:rPr>
        <w:t>am</w:t>
      </w:r>
      <w:r w:rsidR="00DB509A" w:rsidRPr="00DB509A">
        <w:rPr>
          <w:rFonts w:ascii="Arial" w:hAnsi="Arial" w:cs="Arial"/>
          <w:sz w:val="24"/>
          <w:szCs w:val="24"/>
          <w:lang w:val="pt-BR"/>
        </w:rPr>
        <w:t xml:space="preserve"> encaminhada</w:t>
      </w:r>
      <w:r w:rsidR="00DB509A">
        <w:rPr>
          <w:rFonts w:ascii="Arial" w:hAnsi="Arial" w:cs="Arial"/>
          <w:sz w:val="24"/>
          <w:szCs w:val="24"/>
          <w:lang w:val="pt-BR"/>
        </w:rPr>
        <w:t>s</w:t>
      </w:r>
      <w:r w:rsidR="00DB509A" w:rsidRPr="00DB509A">
        <w:rPr>
          <w:rFonts w:ascii="Arial" w:hAnsi="Arial" w:cs="Arial"/>
          <w:sz w:val="24"/>
          <w:szCs w:val="24"/>
          <w:lang w:val="pt-BR"/>
        </w:rPr>
        <w:t xml:space="preserve"> cópia</w:t>
      </w:r>
      <w:r w:rsidR="00DB509A">
        <w:rPr>
          <w:rFonts w:ascii="Arial" w:hAnsi="Arial" w:cs="Arial"/>
          <w:sz w:val="24"/>
          <w:szCs w:val="24"/>
          <w:lang w:val="pt-BR"/>
        </w:rPr>
        <w:t>s</w:t>
      </w:r>
      <w:r w:rsidR="00DB509A" w:rsidRPr="00DB509A">
        <w:rPr>
          <w:rFonts w:ascii="Arial" w:hAnsi="Arial" w:cs="Arial"/>
          <w:sz w:val="24"/>
          <w:szCs w:val="24"/>
          <w:lang w:val="pt-BR"/>
        </w:rPr>
        <w:t xml:space="preserve"> da presente ao Senado Federal e à Câmara dos Deputados.</w:t>
      </w:r>
    </w:p>
    <w:p w14:paraId="73795F80" w14:textId="77777777" w:rsidR="00DB509A" w:rsidRPr="00DB509A" w:rsidRDefault="00DB509A" w:rsidP="00DB509A">
      <w:pPr>
        <w:pStyle w:val="Corpodetexto"/>
        <w:spacing w:before="176"/>
        <w:ind w:left="104" w:firstLine="604"/>
        <w:jc w:val="both"/>
        <w:rPr>
          <w:rFonts w:ascii="Arial" w:hAnsi="Arial" w:cs="Arial"/>
          <w:sz w:val="24"/>
          <w:szCs w:val="24"/>
          <w:lang w:val="pt-BR"/>
        </w:rPr>
      </w:pPr>
    </w:p>
    <w:p w14:paraId="1251AAF6" w14:textId="77777777" w:rsidR="00DB509A" w:rsidRPr="00DB509A" w:rsidRDefault="00DB509A" w:rsidP="00DB509A">
      <w:pPr>
        <w:pStyle w:val="Corpodetexto"/>
        <w:spacing w:before="176"/>
        <w:ind w:left="104" w:firstLine="604"/>
        <w:jc w:val="both"/>
        <w:rPr>
          <w:rFonts w:ascii="Arial" w:hAnsi="Arial" w:cs="Arial"/>
          <w:sz w:val="24"/>
          <w:szCs w:val="24"/>
          <w:lang w:val="pt-BR"/>
        </w:rPr>
      </w:pPr>
      <w:r w:rsidRPr="00DB509A">
        <w:rPr>
          <w:rFonts w:ascii="Arial" w:hAnsi="Arial" w:cs="Arial"/>
          <w:sz w:val="24"/>
          <w:szCs w:val="24"/>
          <w:lang w:val="pt-BR"/>
        </w:rPr>
        <w:t xml:space="preserve">E-mail: </w:t>
      </w:r>
      <w:hyperlink r:id="rId5" w:history="1">
        <w:r w:rsidRPr="00DB509A">
          <w:rPr>
            <w:rStyle w:val="Hyperlink"/>
            <w:rFonts w:ascii="Arial" w:hAnsi="Arial" w:cs="Arial"/>
            <w:color w:val="auto"/>
            <w:sz w:val="24"/>
            <w:szCs w:val="24"/>
            <w:lang w:val="pt-BR"/>
          </w:rPr>
          <w:t>protocolo@senado.leg.br</w:t>
        </w:r>
      </w:hyperlink>
    </w:p>
    <w:p w14:paraId="621863C6" w14:textId="77777777" w:rsidR="00DB509A" w:rsidRPr="00DB509A" w:rsidRDefault="00DB509A" w:rsidP="00DB509A">
      <w:pPr>
        <w:pStyle w:val="Corpodetexto"/>
        <w:spacing w:before="176"/>
        <w:ind w:left="104" w:firstLine="604"/>
        <w:jc w:val="both"/>
        <w:rPr>
          <w:rFonts w:ascii="Arial" w:hAnsi="Arial" w:cs="Arial"/>
          <w:sz w:val="24"/>
          <w:szCs w:val="24"/>
          <w:lang w:val="pt-BR"/>
        </w:rPr>
      </w:pPr>
      <w:r w:rsidRPr="00DB509A">
        <w:rPr>
          <w:rFonts w:ascii="Arial" w:hAnsi="Arial" w:cs="Arial"/>
          <w:sz w:val="24"/>
          <w:szCs w:val="24"/>
          <w:lang w:val="pt-BR"/>
        </w:rPr>
        <w:t xml:space="preserve">E-mail: </w:t>
      </w:r>
      <w:hyperlink r:id="rId6" w:history="1">
        <w:r w:rsidRPr="00DB509A">
          <w:rPr>
            <w:rStyle w:val="Hyperlink"/>
            <w:rFonts w:ascii="Arial" w:hAnsi="Arial" w:cs="Arial"/>
            <w:color w:val="auto"/>
            <w:sz w:val="24"/>
            <w:szCs w:val="24"/>
            <w:lang w:val="pt-BR"/>
          </w:rPr>
          <w:t>redelegislativa@camara.leg.br</w:t>
        </w:r>
      </w:hyperlink>
    </w:p>
    <w:p w14:paraId="73A769BD" w14:textId="77777777" w:rsidR="00EC2F4F" w:rsidRPr="00212BDC" w:rsidRDefault="00EC2F4F" w:rsidP="00EC2F4F">
      <w:pPr>
        <w:ind w:firstLine="708"/>
        <w:jc w:val="both"/>
        <w:rPr>
          <w:rFonts w:ascii="Arial" w:hAnsi="Arial" w:cs="Arial"/>
          <w:szCs w:val="24"/>
        </w:rPr>
      </w:pPr>
    </w:p>
    <w:p w14:paraId="75BBC5B4" w14:textId="35B3BDBC" w:rsidR="00ED7EEE" w:rsidRDefault="00ED7EEE" w:rsidP="00EC2F4F">
      <w:pPr>
        <w:ind w:firstLine="708"/>
        <w:jc w:val="both"/>
        <w:rPr>
          <w:rFonts w:ascii="Arial" w:hAnsi="Arial" w:cs="Arial"/>
          <w:szCs w:val="24"/>
        </w:rPr>
      </w:pPr>
      <w:r>
        <w:rPr>
          <w:rFonts w:ascii="Arial" w:hAnsi="Arial" w:cs="Arial"/>
          <w:szCs w:val="24"/>
        </w:rPr>
        <w:t>Anta Gorda</w:t>
      </w:r>
      <w:r w:rsidR="00EC2F4F" w:rsidRPr="00212BDC">
        <w:rPr>
          <w:rFonts w:ascii="Arial" w:hAnsi="Arial" w:cs="Arial"/>
          <w:szCs w:val="24"/>
        </w:rPr>
        <w:t xml:space="preserve">, </w:t>
      </w:r>
      <w:r>
        <w:rPr>
          <w:rFonts w:ascii="Arial" w:hAnsi="Arial" w:cs="Arial"/>
          <w:szCs w:val="24"/>
        </w:rPr>
        <w:t>16</w:t>
      </w:r>
      <w:r w:rsidR="00DB509A">
        <w:rPr>
          <w:rFonts w:ascii="Arial" w:hAnsi="Arial" w:cs="Arial"/>
          <w:szCs w:val="24"/>
        </w:rPr>
        <w:t xml:space="preserve"> de fevereiro de 2023</w:t>
      </w:r>
      <w:r w:rsidR="00EC2F4F" w:rsidRPr="00212BDC">
        <w:rPr>
          <w:rFonts w:ascii="Arial" w:hAnsi="Arial" w:cs="Arial"/>
          <w:szCs w:val="24"/>
        </w:rPr>
        <w:t>.</w:t>
      </w:r>
    </w:p>
    <w:p w14:paraId="70C61A42" w14:textId="3BC4DE71" w:rsidR="00ED7EEE" w:rsidRDefault="00ED7EEE" w:rsidP="00ED7EEE">
      <w:pPr>
        <w:ind w:firstLine="708"/>
        <w:jc w:val="center"/>
        <w:rPr>
          <w:rFonts w:ascii="Arial" w:hAnsi="Arial" w:cs="Arial"/>
          <w:szCs w:val="24"/>
        </w:rPr>
      </w:pPr>
      <w:r>
        <w:rPr>
          <w:rFonts w:ascii="Arial" w:hAnsi="Arial" w:cs="Arial"/>
          <w:szCs w:val="24"/>
        </w:rPr>
        <w:t>Tiago Toldo</w:t>
      </w:r>
    </w:p>
    <w:p w14:paraId="599B0EBA" w14:textId="53CA12A0" w:rsidR="000D5CCD" w:rsidRDefault="00ED7EEE" w:rsidP="00823D6B">
      <w:pPr>
        <w:ind w:firstLine="708"/>
        <w:jc w:val="center"/>
      </w:pPr>
      <w:r>
        <w:rPr>
          <w:rFonts w:ascii="Arial" w:hAnsi="Arial" w:cs="Arial"/>
          <w:szCs w:val="24"/>
        </w:rPr>
        <w:t>Vereador União Brasil</w:t>
      </w:r>
    </w:p>
    <w:sectPr w:rsidR="000D5CCD" w:rsidSect="00EF6087">
      <w:pgSz w:w="11906" w:h="16838"/>
      <w:pgMar w:top="2552" w:right="1416"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1110B"/>
    <w:multiLevelType w:val="hybridMultilevel"/>
    <w:tmpl w:val="5588DA40"/>
    <w:lvl w:ilvl="0" w:tplc="F304742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2D84668C"/>
    <w:multiLevelType w:val="hybridMultilevel"/>
    <w:tmpl w:val="D400A5DA"/>
    <w:lvl w:ilvl="0" w:tplc="F626C58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4F"/>
    <w:rsid w:val="000D5CCD"/>
    <w:rsid w:val="00392E15"/>
    <w:rsid w:val="00433E7C"/>
    <w:rsid w:val="00823D6B"/>
    <w:rsid w:val="00B146F6"/>
    <w:rsid w:val="00DB509A"/>
    <w:rsid w:val="00EC2F4F"/>
    <w:rsid w:val="00ED7E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38CF9"/>
  <w15:chartTrackingRefBased/>
  <w15:docId w15:val="{32CF1517-7247-4E16-90C4-7F34A0E1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F4F"/>
    <w:pPr>
      <w:spacing w:after="200" w:line="276" w:lineRule="auto"/>
    </w:pPr>
    <w:rPr>
      <w:rFonts w:ascii="Calibri" w:eastAsia="Calibri" w:hAnsi="Calibri"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EC2F4F"/>
    <w:pPr>
      <w:widowControl w:val="0"/>
      <w:autoSpaceDE w:val="0"/>
      <w:autoSpaceDN w:val="0"/>
      <w:spacing w:after="0" w:line="240" w:lineRule="auto"/>
    </w:pPr>
    <w:rPr>
      <w:rFonts w:cs="Calibri"/>
      <w:sz w:val="27"/>
      <w:szCs w:val="27"/>
      <w:lang w:val="pt-PT"/>
    </w:rPr>
  </w:style>
  <w:style w:type="character" w:customStyle="1" w:styleId="CorpodetextoChar">
    <w:name w:val="Corpo de texto Char"/>
    <w:basedOn w:val="Fontepargpadro"/>
    <w:link w:val="Corpodetexto"/>
    <w:uiPriority w:val="1"/>
    <w:rsid w:val="00EC2F4F"/>
    <w:rPr>
      <w:rFonts w:ascii="Calibri" w:eastAsia="Calibri" w:hAnsi="Calibri" w:cs="Calibri"/>
      <w:sz w:val="27"/>
      <w:szCs w:val="27"/>
      <w:lang w:val="pt-PT"/>
    </w:rPr>
  </w:style>
  <w:style w:type="character" w:styleId="Hyperlink">
    <w:name w:val="Hyperlink"/>
    <w:basedOn w:val="Fontepargpadro"/>
    <w:uiPriority w:val="99"/>
    <w:unhideWhenUsed/>
    <w:rsid w:val="00DB509A"/>
    <w:rPr>
      <w:color w:val="0563C1" w:themeColor="hyperlink"/>
      <w:u w:val="single"/>
    </w:rPr>
  </w:style>
  <w:style w:type="character" w:customStyle="1" w:styleId="UnresolvedMention">
    <w:name w:val="Unresolved Mention"/>
    <w:basedOn w:val="Fontepargpadro"/>
    <w:uiPriority w:val="99"/>
    <w:semiHidden/>
    <w:unhideWhenUsed/>
    <w:rsid w:val="00DB509A"/>
    <w:rPr>
      <w:color w:val="605E5C"/>
      <w:shd w:val="clear" w:color="auto" w:fill="E1DFDD"/>
    </w:rPr>
  </w:style>
  <w:style w:type="paragraph" w:styleId="Textodebalo">
    <w:name w:val="Balloon Text"/>
    <w:basedOn w:val="Normal"/>
    <w:link w:val="TextodebaloChar"/>
    <w:uiPriority w:val="99"/>
    <w:semiHidden/>
    <w:unhideWhenUsed/>
    <w:rsid w:val="00823D6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23D6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3026">
      <w:bodyDiv w:val="1"/>
      <w:marLeft w:val="0"/>
      <w:marRight w:val="0"/>
      <w:marTop w:val="0"/>
      <w:marBottom w:val="0"/>
      <w:divBdr>
        <w:top w:val="none" w:sz="0" w:space="0" w:color="auto"/>
        <w:left w:val="none" w:sz="0" w:space="0" w:color="auto"/>
        <w:bottom w:val="none" w:sz="0" w:space="0" w:color="auto"/>
        <w:right w:val="none" w:sz="0" w:space="0" w:color="auto"/>
      </w:divBdr>
    </w:div>
    <w:div w:id="470556604">
      <w:bodyDiv w:val="1"/>
      <w:marLeft w:val="0"/>
      <w:marRight w:val="0"/>
      <w:marTop w:val="0"/>
      <w:marBottom w:val="0"/>
      <w:divBdr>
        <w:top w:val="none" w:sz="0" w:space="0" w:color="auto"/>
        <w:left w:val="none" w:sz="0" w:space="0" w:color="auto"/>
        <w:bottom w:val="none" w:sz="0" w:space="0" w:color="auto"/>
        <w:right w:val="none" w:sz="0" w:space="0" w:color="auto"/>
      </w:divBdr>
    </w:div>
    <w:div w:id="518931417">
      <w:bodyDiv w:val="1"/>
      <w:marLeft w:val="0"/>
      <w:marRight w:val="0"/>
      <w:marTop w:val="0"/>
      <w:marBottom w:val="0"/>
      <w:divBdr>
        <w:top w:val="none" w:sz="0" w:space="0" w:color="auto"/>
        <w:left w:val="none" w:sz="0" w:space="0" w:color="auto"/>
        <w:bottom w:val="none" w:sz="0" w:space="0" w:color="auto"/>
        <w:right w:val="none" w:sz="0" w:space="0" w:color="auto"/>
      </w:divBdr>
    </w:div>
    <w:div w:id="564609746">
      <w:bodyDiv w:val="1"/>
      <w:marLeft w:val="0"/>
      <w:marRight w:val="0"/>
      <w:marTop w:val="0"/>
      <w:marBottom w:val="0"/>
      <w:divBdr>
        <w:top w:val="none" w:sz="0" w:space="0" w:color="auto"/>
        <w:left w:val="none" w:sz="0" w:space="0" w:color="auto"/>
        <w:bottom w:val="none" w:sz="0" w:space="0" w:color="auto"/>
        <w:right w:val="none" w:sz="0" w:space="0" w:color="auto"/>
      </w:divBdr>
    </w:div>
    <w:div w:id="1342856407">
      <w:bodyDiv w:val="1"/>
      <w:marLeft w:val="0"/>
      <w:marRight w:val="0"/>
      <w:marTop w:val="0"/>
      <w:marBottom w:val="0"/>
      <w:divBdr>
        <w:top w:val="none" w:sz="0" w:space="0" w:color="auto"/>
        <w:left w:val="none" w:sz="0" w:space="0" w:color="auto"/>
        <w:bottom w:val="none" w:sz="0" w:space="0" w:color="auto"/>
        <w:right w:val="none" w:sz="0" w:space="0" w:color="auto"/>
      </w:divBdr>
    </w:div>
    <w:div w:id="202316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delegislativa@camara.leg.br" TargetMode="External"/><Relationship Id="rId5" Type="http://schemas.openxmlformats.org/officeDocument/2006/relationships/hyperlink" Target="mailto:protocolo@senado.leg.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503</Words>
  <Characters>2718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Plenario</dc:creator>
  <cp:keywords/>
  <dc:description/>
  <cp:lastModifiedBy>Camara02</cp:lastModifiedBy>
  <cp:revision>5</cp:revision>
  <cp:lastPrinted>2023-02-16T12:49:00Z</cp:lastPrinted>
  <dcterms:created xsi:type="dcterms:W3CDTF">2023-02-16T12:37:00Z</dcterms:created>
  <dcterms:modified xsi:type="dcterms:W3CDTF">2023-02-16T17:43:00Z</dcterms:modified>
</cp:coreProperties>
</file>