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05FC9330" w:rsidR="00F72000" w:rsidRPr="00941207" w:rsidRDefault="00F72000" w:rsidP="0002409A">
      <w:pPr>
        <w:pStyle w:val="Subttulo"/>
        <w:spacing w:after="400"/>
        <w:rPr>
          <w:sz w:val="24"/>
        </w:rPr>
      </w:pPr>
      <w:r w:rsidRPr="00941207">
        <w:rPr>
          <w:sz w:val="24"/>
        </w:rPr>
        <w:t xml:space="preserve">RESOLUÇÃO DE MESA Nº </w:t>
      </w:r>
      <w:sdt>
        <w:sdtPr>
          <w:rPr>
            <w:sz w:val="24"/>
          </w:rPr>
          <w:id w:val="-1206636280"/>
          <w:placeholder>
            <w:docPart w:val="5AD4F4178D454899A9227478369A8166"/>
          </w:placeholder>
        </w:sdtPr>
        <w:sdtEndPr/>
        <w:sdtContent>
          <w:r w:rsidR="00941207" w:rsidRPr="00941207">
            <w:rPr>
              <w:sz w:val="24"/>
            </w:rPr>
            <w:t>00</w:t>
          </w:r>
          <w:r w:rsidR="004F72ED">
            <w:rPr>
              <w:sz w:val="24"/>
            </w:rPr>
            <w:t>7</w:t>
          </w:r>
        </w:sdtContent>
      </w:sdt>
      <w:r w:rsidRPr="00941207">
        <w:rPr>
          <w:sz w:val="24"/>
        </w:rPr>
        <w:t>/</w:t>
      </w:r>
      <w:sdt>
        <w:sdtPr>
          <w:rPr>
            <w:sz w:val="24"/>
          </w:rPr>
          <w:id w:val="58759453"/>
          <w:placeholder>
            <w:docPart w:val="9F70A31503324020B606C083923011F4"/>
          </w:placeholder>
        </w:sdtPr>
        <w:sdtEndPr/>
        <w:sdtContent>
          <w:r w:rsidR="00941207" w:rsidRPr="00941207">
            <w:rPr>
              <w:sz w:val="24"/>
            </w:rPr>
            <w:t>2026</w:t>
          </w:r>
        </w:sdtContent>
      </w:sdt>
    </w:p>
    <w:p w14:paraId="6DCE37DE" w14:textId="12B8C869" w:rsidR="00F72000" w:rsidRPr="00F72000" w:rsidRDefault="00E624C0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lang w:eastAsia="pt-BR"/>
        </w:rPr>
      </w:pPr>
      <w:r w:rsidRPr="00E624C0">
        <w:rPr>
          <w:rFonts w:asciiTheme="majorHAnsi" w:eastAsia="Times New Roman" w:hAnsiTheme="majorHAnsi" w:cstheme="majorHAnsi"/>
          <w:i/>
          <w:lang w:eastAsia="pt-BR"/>
        </w:rPr>
        <w:t>Regulamenta, nos termos do disposto no §</w:t>
      </w:r>
      <w:r>
        <w:rPr>
          <w:rFonts w:asciiTheme="majorHAnsi" w:eastAsia="Times New Roman" w:hAnsiTheme="majorHAnsi" w:cstheme="majorHAnsi"/>
          <w:i/>
          <w:lang w:eastAsia="pt-BR"/>
        </w:rPr>
        <w:t> </w:t>
      </w:r>
      <w:r w:rsidRPr="00E624C0">
        <w:rPr>
          <w:rFonts w:asciiTheme="majorHAnsi" w:eastAsia="Times New Roman" w:hAnsiTheme="majorHAnsi" w:cstheme="majorHAnsi"/>
          <w:i/>
          <w:lang w:eastAsia="pt-BR"/>
        </w:rPr>
        <w:t>1º, art. 20 da Lei nº 14.133/2021, o enquadramento dos Bens de Consumo adquiridos para suprir as demandas da estrutura d</w:t>
      </w:r>
      <w:r>
        <w:rPr>
          <w:rFonts w:asciiTheme="majorHAnsi" w:eastAsia="Times New Roman" w:hAnsiTheme="majorHAnsi" w:cstheme="majorHAnsi"/>
          <w:i/>
          <w:lang w:eastAsia="pt-BR"/>
        </w:rPr>
        <w:t>a Câmara Municipal de Vereadores</w:t>
      </w:r>
      <w:r w:rsidRPr="00E624C0">
        <w:rPr>
          <w:rFonts w:asciiTheme="majorHAnsi" w:eastAsia="Times New Roman" w:hAnsiTheme="majorHAnsi" w:cstheme="majorHAnsi"/>
          <w:i/>
          <w:lang w:eastAsia="pt-BR"/>
        </w:rPr>
        <w:t>, nas categorias de qualidade Comum e de Luxo</w:t>
      </w:r>
      <w:r>
        <w:rPr>
          <w:rFonts w:asciiTheme="majorHAnsi" w:eastAsia="Times New Roman" w:hAnsiTheme="majorHAnsi" w:cstheme="majorHAnsi"/>
          <w:i/>
          <w:lang w:eastAsia="pt-BR"/>
        </w:rPr>
        <w:t>.</w:t>
      </w:r>
    </w:p>
    <w:p w14:paraId="1B42422D" w14:textId="77777777" w:rsidR="00F72000" w:rsidRPr="00F72000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lang w:eastAsia="pt-BR"/>
        </w:rPr>
      </w:pPr>
    </w:p>
    <w:p w14:paraId="57F17C02" w14:textId="77777777" w:rsidR="00F72000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A MESA DIRETORA DA CÂMARA MUNICIPAL DE VEREADORES DE ANTA GORDA</w:t>
      </w:r>
      <w:r w:rsidRPr="00F72000">
        <w:rPr>
          <w:rFonts w:asciiTheme="majorHAnsi" w:eastAsia="Times New Roman" w:hAnsiTheme="majorHAnsi" w:cstheme="majorHAnsi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1ABE0A1B" w14:textId="77777777" w:rsidR="00F72000" w:rsidRPr="009D231F" w:rsidRDefault="00F72000" w:rsidP="003F5111">
      <w:pPr>
        <w:pStyle w:val="Ttulo"/>
        <w:spacing w:after="200"/>
        <w:contextualSpacing w:val="0"/>
      </w:pPr>
      <w:r w:rsidRPr="009D231F">
        <w:t>RESOLVE:</w:t>
      </w:r>
    </w:p>
    <w:p w14:paraId="0B93385D" w14:textId="364D35FF" w:rsidR="003F5111" w:rsidRDefault="003F5111" w:rsidP="003F5111">
      <w:pPr>
        <w:pStyle w:val="Ttulo"/>
      </w:pPr>
      <w:r>
        <w:t>CAPÍTULO I</w:t>
      </w:r>
    </w:p>
    <w:p w14:paraId="29E5FAF6" w14:textId="77777777" w:rsidR="003F5111" w:rsidRDefault="003F5111" w:rsidP="003F5111">
      <w:pPr>
        <w:pStyle w:val="Ttulo"/>
      </w:pPr>
      <w:r>
        <w:t>OBJETO E ÂMBITO DE APLICAÇÃO</w:t>
      </w:r>
    </w:p>
    <w:p w14:paraId="76D98B87" w14:textId="3EDBA8BF" w:rsidR="003F5111" w:rsidRDefault="003F5111" w:rsidP="003F5111">
      <w:pPr>
        <w:pStyle w:val="Art"/>
      </w:pPr>
      <w:r w:rsidRPr="003F5111">
        <w:rPr>
          <w:b/>
          <w:bCs/>
        </w:rPr>
        <w:t>Art. 1º</w:t>
      </w:r>
      <w:r>
        <w:t xml:space="preserve"> Esta Resolução dispõe sobre o enquadramento dos bens de consumo nas categorias de qualidade comum e de luxo, no âmbito do Poder Legislativo Municipal.</w:t>
      </w:r>
    </w:p>
    <w:p w14:paraId="12CAA3EB" w14:textId="77777777" w:rsidR="003F5111" w:rsidRDefault="003F5111" w:rsidP="003F5111">
      <w:pPr>
        <w:pStyle w:val="Ttulo"/>
      </w:pPr>
      <w:r>
        <w:t>CAPÍTULO II</w:t>
      </w:r>
    </w:p>
    <w:p w14:paraId="02FF3B2D" w14:textId="77777777" w:rsidR="003F5111" w:rsidRDefault="003F5111" w:rsidP="003F5111">
      <w:pPr>
        <w:pStyle w:val="Ttulo"/>
      </w:pPr>
      <w:r>
        <w:t>DAS DEFINIÇÕES</w:t>
      </w:r>
    </w:p>
    <w:p w14:paraId="148DE7CB" w14:textId="1E23CC02" w:rsidR="003F5111" w:rsidRDefault="003F5111" w:rsidP="003F5111">
      <w:pPr>
        <w:pStyle w:val="Art"/>
      </w:pPr>
      <w:r w:rsidRPr="003F5111">
        <w:rPr>
          <w:b/>
          <w:bCs/>
        </w:rPr>
        <w:t>Art.</w:t>
      </w:r>
      <w:r>
        <w:rPr>
          <w:b/>
          <w:bCs/>
        </w:rPr>
        <w:t> </w:t>
      </w:r>
      <w:r w:rsidRPr="003F5111">
        <w:rPr>
          <w:b/>
          <w:bCs/>
        </w:rPr>
        <w:t>2º</w:t>
      </w:r>
      <w:r>
        <w:t> Para fins do disposto nesta Resolução, considera-se:</w:t>
      </w:r>
    </w:p>
    <w:p w14:paraId="2302244D" w14:textId="5E80BC47" w:rsidR="003F5111" w:rsidRDefault="003F5111" w:rsidP="003F5111">
      <w:pPr>
        <w:pStyle w:val="Art"/>
      </w:pPr>
      <w:r w:rsidRPr="003F5111">
        <w:rPr>
          <w:b/>
          <w:bCs/>
        </w:rPr>
        <w:t>I – </w:t>
      </w:r>
      <w:r>
        <w:t>bem de luxo – bem de consumo com alta elasticidade-renda da demanda, podendo ser identificado por características, não cumulativas, quais sejam:</w:t>
      </w:r>
    </w:p>
    <w:p w14:paraId="24376861" w14:textId="7983BB83" w:rsidR="003F5111" w:rsidRDefault="003F5111" w:rsidP="003F5111">
      <w:pPr>
        <w:pStyle w:val="Art"/>
      </w:pPr>
      <w:r w:rsidRPr="003F5111">
        <w:rPr>
          <w:b/>
          <w:bCs/>
        </w:rPr>
        <w:t>a)</w:t>
      </w:r>
      <w:r>
        <w:t> ostentação;</w:t>
      </w:r>
    </w:p>
    <w:p w14:paraId="7CAC12DF" w14:textId="7B9C7699" w:rsidR="003F5111" w:rsidRDefault="003F5111" w:rsidP="003F5111">
      <w:pPr>
        <w:pStyle w:val="Art"/>
      </w:pPr>
      <w:r w:rsidRPr="003F5111">
        <w:rPr>
          <w:b/>
          <w:bCs/>
        </w:rPr>
        <w:t>b)</w:t>
      </w:r>
      <w:r>
        <w:t> opulência;</w:t>
      </w:r>
    </w:p>
    <w:p w14:paraId="705CF9B5" w14:textId="65266951" w:rsidR="003F5111" w:rsidRDefault="003F5111" w:rsidP="003F5111">
      <w:pPr>
        <w:pStyle w:val="Art"/>
      </w:pPr>
      <w:r w:rsidRPr="003F5111">
        <w:rPr>
          <w:b/>
          <w:bCs/>
        </w:rPr>
        <w:t>c)</w:t>
      </w:r>
      <w:r>
        <w:t xml:space="preserve"> forte apelo estético; </w:t>
      </w:r>
    </w:p>
    <w:p w14:paraId="39E488F8" w14:textId="495A5A5D" w:rsidR="003F5111" w:rsidRDefault="003F5111" w:rsidP="003F5111">
      <w:pPr>
        <w:pStyle w:val="Art"/>
      </w:pPr>
      <w:r w:rsidRPr="003F5111">
        <w:rPr>
          <w:b/>
          <w:bCs/>
        </w:rPr>
        <w:t>d)</w:t>
      </w:r>
      <w:r>
        <w:t> excesso de requinte.</w:t>
      </w:r>
    </w:p>
    <w:p w14:paraId="0F676172" w14:textId="161EA650" w:rsidR="003F5111" w:rsidRDefault="003F5111" w:rsidP="003F5111">
      <w:pPr>
        <w:pStyle w:val="Art"/>
      </w:pPr>
      <w:r w:rsidRPr="003F5111">
        <w:rPr>
          <w:b/>
          <w:bCs/>
        </w:rPr>
        <w:t>II – </w:t>
      </w:r>
      <w:r>
        <w:t>bem de qualidade comum – bem de consumo com baixa ou moderada elasticidade-renda da demanda;</w:t>
      </w:r>
    </w:p>
    <w:p w14:paraId="0C12139B" w14:textId="5D762D14" w:rsidR="003F5111" w:rsidRDefault="003F5111" w:rsidP="003F5111">
      <w:pPr>
        <w:pStyle w:val="Art"/>
      </w:pPr>
      <w:r w:rsidRPr="003F5111">
        <w:rPr>
          <w:b/>
          <w:bCs/>
        </w:rPr>
        <w:t>III – </w:t>
      </w:r>
      <w:r>
        <w:t>bem de consumo – todo material que aten</w:t>
      </w:r>
      <w:r w:rsidR="002049A1">
        <w:t>d</w:t>
      </w:r>
      <w:r>
        <w:t xml:space="preserve">a a, no mínimo, um dos seguintes critérios: </w:t>
      </w:r>
    </w:p>
    <w:p w14:paraId="2C86D5D6" w14:textId="357A2C2E" w:rsidR="003F5111" w:rsidRDefault="003F5111" w:rsidP="003F5111">
      <w:pPr>
        <w:pStyle w:val="Art"/>
      </w:pPr>
      <w:r w:rsidRPr="003F5111">
        <w:rPr>
          <w:b/>
          <w:bCs/>
        </w:rPr>
        <w:lastRenderedPageBreak/>
        <w:t>a) </w:t>
      </w:r>
      <w:r>
        <w:t>durabilidade: em uso normal, perde ou reduz as suas condições de uso, no prazo de dois anos;</w:t>
      </w:r>
    </w:p>
    <w:p w14:paraId="4BC632E1" w14:textId="60488264" w:rsidR="003F5111" w:rsidRDefault="003F5111" w:rsidP="003F5111">
      <w:pPr>
        <w:pStyle w:val="Art"/>
      </w:pPr>
      <w:r w:rsidRPr="003F5111">
        <w:rPr>
          <w:b/>
          <w:bCs/>
        </w:rPr>
        <w:t>b)</w:t>
      </w:r>
      <w:r>
        <w:t> fragilidade: facilmente quebradiço ou deformável, de modo irrecuperável ou com perda de sua identidade;</w:t>
      </w:r>
    </w:p>
    <w:p w14:paraId="0D9ACE2A" w14:textId="6436C661" w:rsidR="003F5111" w:rsidRDefault="003F5111" w:rsidP="003F5111">
      <w:pPr>
        <w:pStyle w:val="Art"/>
      </w:pPr>
      <w:r w:rsidRPr="003F5111">
        <w:rPr>
          <w:b/>
          <w:bCs/>
        </w:rPr>
        <w:t>c) </w:t>
      </w:r>
      <w:r>
        <w:t>perecibilidade: sujeito a modificações químicas ou físicas que levam à deterioração ou perda de suas condições de uso com o tempo;</w:t>
      </w:r>
    </w:p>
    <w:p w14:paraId="06E3CE5E" w14:textId="566E0B0F" w:rsidR="003F5111" w:rsidRDefault="003F5111" w:rsidP="003F5111">
      <w:pPr>
        <w:pStyle w:val="Art"/>
      </w:pPr>
      <w:r w:rsidRPr="003F5111">
        <w:rPr>
          <w:b/>
          <w:bCs/>
        </w:rPr>
        <w:t>d)</w:t>
      </w:r>
      <w:r>
        <w:t> incorporabilidade: destinado à incorporação de outro bem, ainda que suas características originais sejam alteradas, de modo que sua retirada acarrete prejuízo à essência do bem principal;</w:t>
      </w:r>
    </w:p>
    <w:p w14:paraId="39A837C7" w14:textId="7C641EB0" w:rsidR="003F5111" w:rsidRDefault="003F5111" w:rsidP="00E211CC">
      <w:pPr>
        <w:pStyle w:val="Art"/>
      </w:pPr>
      <w:r w:rsidRPr="003F5111">
        <w:rPr>
          <w:b/>
          <w:bCs/>
        </w:rPr>
        <w:t>e)</w:t>
      </w:r>
      <w:r>
        <w:t> transformabilidade: adquirido para fins de utilização como matéria-prima ou matéria intermediária para a geração de outro bem.</w:t>
      </w:r>
    </w:p>
    <w:p w14:paraId="0570A20A" w14:textId="77777777" w:rsidR="003F5111" w:rsidRDefault="003F5111" w:rsidP="003F5111">
      <w:pPr>
        <w:pStyle w:val="Ttulo"/>
      </w:pPr>
      <w:r>
        <w:t>CAPÍTULO III</w:t>
      </w:r>
    </w:p>
    <w:p w14:paraId="4D051DD1" w14:textId="77777777" w:rsidR="003F5111" w:rsidRDefault="003F5111" w:rsidP="003F5111">
      <w:pPr>
        <w:pStyle w:val="Ttulo"/>
      </w:pPr>
      <w:r>
        <w:t>CLASSIFICAÇÃO DE ARTIGO DE LUXO</w:t>
      </w:r>
    </w:p>
    <w:p w14:paraId="5855C001" w14:textId="0C61B9E3" w:rsidR="003F5111" w:rsidRDefault="003F5111" w:rsidP="003F5111">
      <w:pPr>
        <w:pStyle w:val="Art"/>
      </w:pPr>
      <w:r w:rsidRPr="003F5111">
        <w:rPr>
          <w:b/>
          <w:bCs/>
        </w:rPr>
        <w:t>Art.</w:t>
      </w:r>
      <w:r>
        <w:rPr>
          <w:b/>
          <w:bCs/>
        </w:rPr>
        <w:t> </w:t>
      </w:r>
      <w:r w:rsidR="00E211CC">
        <w:rPr>
          <w:b/>
          <w:bCs/>
        </w:rPr>
        <w:t>3</w:t>
      </w:r>
      <w:r w:rsidRPr="003F5111">
        <w:rPr>
          <w:b/>
          <w:bCs/>
        </w:rPr>
        <w:t>º</w:t>
      </w:r>
      <w:r>
        <w:t> Para classificar um bem como sendo de luxo, nos termos do inciso I, do artigo 2º, poderá ser considerado:</w:t>
      </w:r>
    </w:p>
    <w:p w14:paraId="6CB3C179" w14:textId="0A9093F5" w:rsidR="003F5111" w:rsidRDefault="003F5111" w:rsidP="003F5111">
      <w:pPr>
        <w:pStyle w:val="Art"/>
      </w:pPr>
      <w:r w:rsidRPr="003F5111">
        <w:rPr>
          <w:b/>
          <w:bCs/>
        </w:rPr>
        <w:t>I – </w:t>
      </w:r>
      <w:r>
        <w:t>relatividade cultural: distinta percepção sobre o bem, em função da cultura local, desde que haja impacto no preço do artigo;</w:t>
      </w:r>
    </w:p>
    <w:p w14:paraId="47123A5D" w14:textId="08C4B73F" w:rsidR="003F5111" w:rsidRDefault="003F5111" w:rsidP="003F5111">
      <w:pPr>
        <w:pStyle w:val="Art"/>
      </w:pPr>
      <w:r w:rsidRPr="003F5111">
        <w:rPr>
          <w:b/>
          <w:bCs/>
        </w:rPr>
        <w:t>II – </w:t>
      </w:r>
      <w:r>
        <w:t>relatividade econômica: variáveis econômicas que incidem sobre o preço do bem, especialmente a facilidade/dificuldade da logística regional ou local de acesso ao bem;</w:t>
      </w:r>
    </w:p>
    <w:p w14:paraId="2155E1EC" w14:textId="340E7DF0" w:rsidR="003F5111" w:rsidRDefault="003F5111" w:rsidP="003F5111">
      <w:pPr>
        <w:pStyle w:val="Art"/>
      </w:pPr>
      <w:r w:rsidRPr="003F5111">
        <w:rPr>
          <w:b/>
          <w:bCs/>
        </w:rPr>
        <w:t>III – </w:t>
      </w:r>
      <w:r>
        <w:t>relatividade temporal: mudança das variáveis mercadológicas do bem ao longo do tempo, em função de evolução tecnológica, tendências sociais, alterações de disponibilidade no mercado e modificações no processo de suprimento logístico.</w:t>
      </w:r>
    </w:p>
    <w:p w14:paraId="76C8CFEE" w14:textId="77777777" w:rsidR="003F5111" w:rsidRDefault="003F5111" w:rsidP="003F5111">
      <w:pPr>
        <w:pStyle w:val="Ttulo"/>
      </w:pPr>
      <w:r>
        <w:t>CAPÍTULO IV</w:t>
      </w:r>
    </w:p>
    <w:p w14:paraId="10DDDC51" w14:textId="77777777" w:rsidR="003F5111" w:rsidRDefault="003F5111" w:rsidP="003F5111">
      <w:pPr>
        <w:pStyle w:val="Ttulo"/>
      </w:pPr>
      <w:r>
        <w:t>VEDAÇÕES</w:t>
      </w:r>
    </w:p>
    <w:p w14:paraId="2A59D6D6" w14:textId="504C4397" w:rsidR="003F5111" w:rsidRDefault="003F5111" w:rsidP="003F5111">
      <w:pPr>
        <w:pStyle w:val="Art"/>
      </w:pPr>
      <w:r w:rsidRPr="003F5111">
        <w:rPr>
          <w:b/>
          <w:bCs/>
        </w:rPr>
        <w:t>Art.</w:t>
      </w:r>
      <w:r>
        <w:rPr>
          <w:b/>
          <w:bCs/>
        </w:rPr>
        <w:t> </w:t>
      </w:r>
      <w:r w:rsidR="00E211CC">
        <w:rPr>
          <w:b/>
          <w:bCs/>
        </w:rPr>
        <w:t>4</w:t>
      </w:r>
      <w:r w:rsidRPr="003F5111">
        <w:rPr>
          <w:b/>
          <w:bCs/>
        </w:rPr>
        <w:t>º</w:t>
      </w:r>
      <w:r>
        <w:rPr>
          <w:b/>
          <w:bCs/>
        </w:rPr>
        <w:t> </w:t>
      </w:r>
      <w:r>
        <w:t>É vedada a aquisição de bens de luxo, independente da modalidade de licitação ou contratação direta.</w:t>
      </w:r>
    </w:p>
    <w:p w14:paraId="53938730" w14:textId="289B1E59" w:rsidR="003F5111" w:rsidRDefault="003F5111" w:rsidP="003F5111">
      <w:pPr>
        <w:pStyle w:val="Art"/>
      </w:pPr>
      <w:r w:rsidRPr="003F5111">
        <w:rPr>
          <w:b/>
          <w:bCs/>
        </w:rPr>
        <w:t>Art.</w:t>
      </w:r>
      <w:r>
        <w:rPr>
          <w:b/>
          <w:bCs/>
        </w:rPr>
        <w:t> </w:t>
      </w:r>
      <w:r w:rsidR="00E211CC">
        <w:rPr>
          <w:b/>
          <w:bCs/>
        </w:rPr>
        <w:t>5</w:t>
      </w:r>
      <w:r w:rsidRPr="003F5111">
        <w:rPr>
          <w:b/>
          <w:bCs/>
        </w:rPr>
        <w:t>º</w:t>
      </w:r>
      <w:r>
        <w:t> É vedada a inclusão de artigos de luxo no PCA – Plano de Contratações Anual.</w:t>
      </w:r>
    </w:p>
    <w:p w14:paraId="5DB62629" w14:textId="5D8AC8AC" w:rsidR="003F5111" w:rsidRDefault="003F5111" w:rsidP="003F5111">
      <w:pPr>
        <w:pStyle w:val="Art"/>
      </w:pPr>
      <w:r w:rsidRPr="003F5111">
        <w:rPr>
          <w:b/>
          <w:bCs/>
        </w:rPr>
        <w:lastRenderedPageBreak/>
        <w:t>§</w:t>
      </w:r>
      <w:r>
        <w:rPr>
          <w:b/>
          <w:bCs/>
        </w:rPr>
        <w:t> </w:t>
      </w:r>
      <w:r w:rsidRPr="003F5111">
        <w:rPr>
          <w:b/>
          <w:bCs/>
        </w:rPr>
        <w:t>1º</w:t>
      </w:r>
      <w:r>
        <w:t xml:space="preserve"> Antecedendo a elaboração do Plano de Contratações Anual, o setor responsável pela sua formalização deverá identificar eventuais artigos de luxo, informando aos requisitantes a não possibilidade de inclusão no PCA e orientando pela sua adequação. </w:t>
      </w:r>
    </w:p>
    <w:p w14:paraId="2FE2D80D" w14:textId="64006EA8" w:rsidR="003F5111" w:rsidRDefault="003F5111" w:rsidP="003F5111">
      <w:pPr>
        <w:pStyle w:val="Art"/>
      </w:pPr>
      <w:r w:rsidRPr="003F5111">
        <w:rPr>
          <w:b/>
          <w:bCs/>
        </w:rPr>
        <w:t>§</w:t>
      </w:r>
      <w:r>
        <w:rPr>
          <w:b/>
          <w:bCs/>
        </w:rPr>
        <w:t> </w:t>
      </w:r>
      <w:r w:rsidRPr="003F5111">
        <w:rPr>
          <w:b/>
          <w:bCs/>
        </w:rPr>
        <w:t>2º</w:t>
      </w:r>
      <w:r>
        <w:t xml:space="preserve"> Excepcionalmente, poderá ocorrer a aquisição de bens de luxo, desde que motivados e justificados, analisado o custo-benefício.</w:t>
      </w:r>
    </w:p>
    <w:p w14:paraId="2C872671" w14:textId="77777777" w:rsidR="003F5111" w:rsidRDefault="003F5111" w:rsidP="003F5111">
      <w:pPr>
        <w:pStyle w:val="Ttulo"/>
      </w:pPr>
      <w:r>
        <w:t>CAPÍTULO V</w:t>
      </w:r>
    </w:p>
    <w:p w14:paraId="57DA8DF9" w14:textId="77777777" w:rsidR="003F5111" w:rsidRDefault="003F5111" w:rsidP="003F5111">
      <w:pPr>
        <w:pStyle w:val="Ttulo"/>
      </w:pPr>
      <w:r>
        <w:t>DISPOSIÇÕES GERAIS</w:t>
      </w:r>
    </w:p>
    <w:p w14:paraId="50004F96" w14:textId="1DCFFCDE" w:rsidR="0002409A" w:rsidRDefault="003F5111" w:rsidP="0002409A">
      <w:pPr>
        <w:pStyle w:val="Art"/>
      </w:pPr>
      <w:r w:rsidRPr="003F5111">
        <w:rPr>
          <w:b/>
          <w:bCs/>
        </w:rPr>
        <w:t>Art.</w:t>
      </w:r>
      <w:r>
        <w:rPr>
          <w:b/>
          <w:bCs/>
        </w:rPr>
        <w:t> </w:t>
      </w:r>
      <w:r w:rsidR="00E211CC">
        <w:rPr>
          <w:b/>
          <w:bCs/>
        </w:rPr>
        <w:t>6</w:t>
      </w:r>
      <w:r w:rsidRPr="003F5111">
        <w:rPr>
          <w:b/>
          <w:bCs/>
        </w:rPr>
        <w:t>º</w:t>
      </w:r>
      <w:r>
        <w:rPr>
          <w:b/>
          <w:bCs/>
        </w:rPr>
        <w:t> </w:t>
      </w:r>
      <w:r>
        <w:t>A Câmara Municipal poderá expedir normas complementares para a execução deste Regulamento, bem como disponibilizar em meio eletrônico informações adicionais.</w:t>
      </w:r>
    </w:p>
    <w:p w14:paraId="3E3C13CC" w14:textId="4A68A935" w:rsidR="00F72000" w:rsidRDefault="00F72000" w:rsidP="005143DB">
      <w:pPr>
        <w:pStyle w:val="Art"/>
      </w:pPr>
      <w:r w:rsidRPr="00F72000">
        <w:rPr>
          <w:b/>
          <w:bCs/>
        </w:rPr>
        <w:t>Art.</w:t>
      </w:r>
      <w:r w:rsidR="005143DB">
        <w:rPr>
          <w:b/>
          <w:bCs/>
        </w:rPr>
        <w:t> </w:t>
      </w:r>
      <w:r w:rsidR="00E211CC">
        <w:rPr>
          <w:b/>
          <w:bCs/>
        </w:rPr>
        <w:t>7</w:t>
      </w:r>
      <w:r w:rsidR="003F5111">
        <w:rPr>
          <w:b/>
          <w:bCs/>
        </w:rPr>
        <w:t>º</w:t>
      </w:r>
      <w:r w:rsidR="005143DB">
        <w:t> E</w:t>
      </w:r>
      <w:r w:rsidRPr="00F72000">
        <w:t>sta Resolução de Mesa entra em vigor na data de sua publicação.</w:t>
      </w:r>
    </w:p>
    <w:p w14:paraId="21D05ABE" w14:textId="77777777"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</w:p>
    <w:p w14:paraId="5135F880" w14:textId="49D7D7F0"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4F72ED">
            <w:rPr>
              <w:rFonts w:asciiTheme="majorHAnsi" w:eastAsia="Times New Roman" w:hAnsiTheme="majorHAnsi" w:cstheme="majorHAnsi"/>
              <w:lang w:eastAsia="pt-BR"/>
            </w:rPr>
            <w:t>06</w:t>
          </w:r>
        </w:sdtContent>
      </w:sdt>
      <w:r w:rsidR="007E3890">
        <w:rPr>
          <w:rFonts w:asciiTheme="majorHAnsi" w:eastAsia="Times New Roman" w:hAnsiTheme="majorHAnsi" w:cstheme="majorHAnsi"/>
          <w:lang w:eastAsia="pt-BR"/>
        </w:rPr>
        <w:t xml:space="preserve"> 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4F72ED">
            <w:rPr>
              <w:rFonts w:asciiTheme="majorHAnsi" w:eastAsia="Times New Roman" w:hAnsiTheme="majorHAnsi" w:cstheme="majorHAnsi"/>
              <w:lang w:eastAsia="pt-BR"/>
            </w:rPr>
            <w:t>abril</w:t>
          </w:r>
        </w:sdtContent>
      </w:sdt>
      <w:r w:rsidR="007E3890">
        <w:rPr>
          <w:rFonts w:asciiTheme="majorHAnsi" w:eastAsia="Times New Roman" w:hAnsiTheme="majorHAnsi" w:cstheme="majorHAnsi"/>
          <w:lang w:eastAsia="pt-BR"/>
        </w:rPr>
        <w:t xml:space="preserve"> </w:t>
      </w:r>
      <w:r w:rsidRPr="00F72000">
        <w:rPr>
          <w:rFonts w:asciiTheme="majorHAnsi" w:eastAsia="Times New Roman" w:hAnsiTheme="majorHAnsi" w:cstheme="majorHAnsi"/>
          <w:lang w:eastAsia="pt-BR"/>
        </w:rPr>
        <w:t>de 2026.</w:t>
      </w:r>
    </w:p>
    <w:p w14:paraId="1E8B194C" w14:textId="77777777" w:rsidR="00F72000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5956476F" w14:textId="77777777" w:rsidR="00F72000" w:rsidRPr="00F72000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lang w:eastAsia="pt-BR"/>
        </w:rPr>
      </w:pPr>
    </w:p>
    <w:p w14:paraId="5DFF4A75" w14:textId="77777777"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FERNANDO LOCATELLI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Presidente</w:t>
      </w:r>
      <w:bookmarkStart w:id="0" w:name="_GoBack"/>
      <w:bookmarkEnd w:id="0"/>
    </w:p>
    <w:p w14:paraId="25D8623E" w14:textId="77777777" w:rsid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14:paraId="793DA209" w14:textId="77777777"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14:paraId="4C7E3857" w14:textId="77777777"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CIRIO FRANCISCO DE FREITAS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Vice-Presidente</w:t>
      </w:r>
    </w:p>
    <w:p w14:paraId="2144523A" w14:textId="77777777" w:rsid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14:paraId="55132EC5" w14:textId="77777777"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14:paraId="5BF62224" w14:textId="77777777"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PAULO CESAR BETTONI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1º Secretário</w:t>
      </w:r>
    </w:p>
    <w:p w14:paraId="0C88B279" w14:textId="77777777" w:rsid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14:paraId="733374F1" w14:textId="77777777"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14:paraId="3EA7A57C" w14:textId="074B29F9" w:rsidR="00D54D13" w:rsidRPr="00F72000" w:rsidRDefault="00F72000" w:rsidP="00F72000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CLEONIR GUARNIERI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2º Secretário</w:t>
      </w:r>
    </w:p>
    <w:sectPr w:rsidR="00D54D13" w:rsidRPr="00F72000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B08F" w14:textId="77777777" w:rsidR="001A52EE" w:rsidRDefault="001A52EE" w:rsidP="003F5111">
      <w:pPr>
        <w:spacing w:after="0" w:line="240" w:lineRule="auto"/>
      </w:pPr>
      <w:r>
        <w:separator/>
      </w:r>
    </w:p>
  </w:endnote>
  <w:endnote w:type="continuationSeparator" w:id="0">
    <w:p w14:paraId="412DC63F" w14:textId="77777777" w:rsidR="001A52EE" w:rsidRDefault="001A52EE" w:rsidP="003F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A3DE" w14:textId="77777777" w:rsidR="001A52EE" w:rsidRDefault="001A52EE" w:rsidP="003F5111">
      <w:pPr>
        <w:spacing w:after="0" w:line="240" w:lineRule="auto"/>
      </w:pPr>
      <w:r>
        <w:separator/>
      </w:r>
    </w:p>
  </w:footnote>
  <w:footnote w:type="continuationSeparator" w:id="0">
    <w:p w14:paraId="70362BB2" w14:textId="77777777" w:rsidR="001A52EE" w:rsidRDefault="001A52EE" w:rsidP="003F5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1A52EE"/>
    <w:rsid w:val="002049A1"/>
    <w:rsid w:val="003F5111"/>
    <w:rsid w:val="004F72ED"/>
    <w:rsid w:val="005143DB"/>
    <w:rsid w:val="0056311F"/>
    <w:rsid w:val="00565CFF"/>
    <w:rsid w:val="00575D5F"/>
    <w:rsid w:val="00681DE5"/>
    <w:rsid w:val="007E3890"/>
    <w:rsid w:val="00921546"/>
    <w:rsid w:val="00941207"/>
    <w:rsid w:val="009D231F"/>
    <w:rsid w:val="00D54D13"/>
    <w:rsid w:val="00E211CC"/>
    <w:rsid w:val="00E624C0"/>
    <w:rsid w:val="00F6105A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2409A"/>
    <w:pPr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409A"/>
    <w:rPr>
      <w:rFonts w:asciiTheme="majorHAnsi" w:eastAsia="Times New Roman" w:hAnsiTheme="majorHAnsi" w:cstheme="majorHAnsi"/>
      <w:b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51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51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5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5E3E39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5E3E39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1A52DD"/>
    <w:rsid w:val="00495E03"/>
    <w:rsid w:val="0056311F"/>
    <w:rsid w:val="00575D5F"/>
    <w:rsid w:val="005E3E39"/>
    <w:rsid w:val="00894CD3"/>
    <w:rsid w:val="008B06CC"/>
    <w:rsid w:val="008B59A0"/>
    <w:rsid w:val="00F6105A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2026-04-10T00:06:00Z</cp:lastPrinted>
  <dcterms:created xsi:type="dcterms:W3CDTF">2026-03-23T18:25:00Z</dcterms:created>
  <dcterms:modified xsi:type="dcterms:W3CDTF">2026-04-10T00:06:00Z</dcterms:modified>
</cp:coreProperties>
</file>