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3BFD9" w14:textId="5434D681" w:rsidR="00F72000" w:rsidRPr="0042650E" w:rsidRDefault="00F72000" w:rsidP="0002409A">
      <w:pPr>
        <w:pStyle w:val="Subttulo"/>
        <w:spacing w:after="400"/>
        <w:rPr>
          <w:sz w:val="20"/>
          <w:szCs w:val="20"/>
        </w:rPr>
      </w:pPr>
      <w:r w:rsidRPr="0042650E">
        <w:rPr>
          <w:sz w:val="20"/>
          <w:szCs w:val="20"/>
        </w:rPr>
        <w:t xml:space="preserve">RESOLUÇÃO DE MESA Nº </w:t>
      </w:r>
      <w:sdt>
        <w:sdtPr>
          <w:rPr>
            <w:sz w:val="20"/>
            <w:szCs w:val="20"/>
          </w:rPr>
          <w:id w:val="-1206636280"/>
          <w:placeholder>
            <w:docPart w:val="5AD4F4178D454899A9227478369A8166"/>
          </w:placeholder>
        </w:sdtPr>
        <w:sdtEndPr/>
        <w:sdtContent>
          <w:r w:rsidR="00090C59">
            <w:rPr>
              <w:sz w:val="20"/>
              <w:szCs w:val="20"/>
            </w:rPr>
            <w:t>009</w:t>
          </w:r>
        </w:sdtContent>
      </w:sdt>
      <w:r w:rsidRPr="0042650E">
        <w:rPr>
          <w:sz w:val="20"/>
          <w:szCs w:val="20"/>
        </w:rPr>
        <w:t>/</w:t>
      </w:r>
      <w:sdt>
        <w:sdtPr>
          <w:rPr>
            <w:sz w:val="20"/>
            <w:szCs w:val="20"/>
          </w:rPr>
          <w:id w:val="58759453"/>
          <w:placeholder>
            <w:docPart w:val="9F70A31503324020B606C083923011F4"/>
          </w:placeholder>
        </w:sdtPr>
        <w:sdtEndPr/>
        <w:sdtContent>
          <w:r w:rsidR="0042650E" w:rsidRPr="0042650E">
            <w:rPr>
              <w:sz w:val="20"/>
              <w:szCs w:val="20"/>
            </w:rPr>
            <w:t>2026</w:t>
          </w:r>
        </w:sdtContent>
      </w:sdt>
    </w:p>
    <w:p w14:paraId="6DCE37DE" w14:textId="0E94B330" w:rsidR="00F72000" w:rsidRPr="0042650E" w:rsidRDefault="00591AA0" w:rsidP="00F72000">
      <w:pPr>
        <w:spacing w:after="0" w:line="240" w:lineRule="auto"/>
        <w:ind w:left="3686"/>
        <w:jc w:val="both"/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</w:pPr>
      <w:r w:rsidRPr="0042650E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 xml:space="preserve">Regulamenta o Procedimento Interno de Compras e Contratações no âmbito do Poder Legislativo Municipal de Anta </w:t>
      </w:r>
      <w:proofErr w:type="spellStart"/>
      <w:r w:rsidRPr="0042650E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Gorda-RS</w:t>
      </w:r>
      <w:proofErr w:type="spellEnd"/>
      <w:r w:rsidRPr="0042650E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, nos limites da Lei Federal nº 14.133/2021</w:t>
      </w:r>
      <w:r w:rsidR="00C65295" w:rsidRPr="0042650E">
        <w:rPr>
          <w:rFonts w:asciiTheme="majorHAnsi" w:eastAsia="Times New Roman" w:hAnsiTheme="majorHAnsi" w:cstheme="majorHAnsi"/>
          <w:i/>
          <w:sz w:val="20"/>
          <w:szCs w:val="20"/>
          <w:lang w:eastAsia="pt-BR"/>
        </w:rPr>
        <w:t>.</w:t>
      </w:r>
    </w:p>
    <w:p w14:paraId="1B42422D" w14:textId="77777777" w:rsidR="00F72000" w:rsidRPr="0042650E" w:rsidRDefault="00F72000" w:rsidP="00F72000">
      <w:pPr>
        <w:spacing w:after="0" w:line="360" w:lineRule="auto"/>
        <w:ind w:left="368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7F17C02" w14:textId="77777777" w:rsidR="00F72000" w:rsidRPr="0042650E" w:rsidRDefault="00F72000" w:rsidP="0002409A">
      <w:pPr>
        <w:spacing w:after="40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42650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A MESA DIRETORA DA CÂMARA MUNICIPAL DE VEREADORES DE ANTA GORDA</w:t>
      </w:r>
      <w:r w:rsidRPr="0042650E">
        <w:rPr>
          <w:rFonts w:asciiTheme="majorHAnsi" w:eastAsia="Times New Roman" w:hAnsiTheme="majorHAnsi" w:cstheme="majorHAnsi"/>
          <w:sz w:val="20"/>
          <w:szCs w:val="20"/>
          <w:lang w:eastAsia="pt-BR"/>
        </w:rPr>
        <w:t>, no uso de suas atribuições legais e regimentais, especialmente aquelas relacionadas à direção dos serviços administrativos e à gestão orçamentária do Poder Legislativo,</w:t>
      </w:r>
    </w:p>
    <w:p w14:paraId="04479F97" w14:textId="3FA76CCE" w:rsidR="00591AA0" w:rsidRPr="0042650E" w:rsidRDefault="00591AA0" w:rsidP="00591AA0">
      <w:pPr>
        <w:pStyle w:val="PargrafodaLista"/>
        <w:rPr>
          <w:sz w:val="20"/>
          <w:szCs w:val="20"/>
        </w:rPr>
      </w:pPr>
      <w:r w:rsidRPr="0042650E">
        <w:rPr>
          <w:b/>
          <w:bCs w:val="0"/>
          <w:sz w:val="20"/>
          <w:szCs w:val="20"/>
        </w:rPr>
        <w:t>CONSIDERANDO</w:t>
      </w:r>
      <w:r w:rsidRPr="0042650E">
        <w:rPr>
          <w:sz w:val="20"/>
          <w:szCs w:val="20"/>
        </w:rPr>
        <w:t xml:space="preserve"> a Lei Federal nº 14.133, de 1º de abril de 2021 e, visando garantir a observância dos princípios da legalidade, impessoalidade, moralidade, publicidade, eficiência, interesse público, probidade administrativa, igualdade, planejamento, transparência, eficácia, segregação de funções, motivação, vinculação ao edital, julgamento objetivo, segurança jurídica,</w:t>
      </w:r>
      <w:r w:rsidR="00E66537" w:rsidRPr="0042650E">
        <w:rPr>
          <w:sz w:val="20"/>
          <w:szCs w:val="20"/>
        </w:rPr>
        <w:t xml:space="preserve"> </w:t>
      </w:r>
      <w:r w:rsidRPr="0042650E">
        <w:rPr>
          <w:sz w:val="20"/>
          <w:szCs w:val="20"/>
        </w:rPr>
        <w:t>razoabilidade, competitividade, proporcionalidade, celeridade, economicidade e desenvolvimento nacional sustentável;</w:t>
      </w:r>
    </w:p>
    <w:p w14:paraId="4AC22438" w14:textId="77777777" w:rsidR="00591AA0" w:rsidRPr="0042650E" w:rsidRDefault="00591AA0" w:rsidP="00591AA0">
      <w:pPr>
        <w:pStyle w:val="PargrafodaLista"/>
        <w:rPr>
          <w:sz w:val="20"/>
          <w:szCs w:val="20"/>
        </w:rPr>
      </w:pPr>
      <w:r w:rsidRPr="0042650E">
        <w:rPr>
          <w:b/>
          <w:bCs w:val="0"/>
          <w:sz w:val="20"/>
          <w:szCs w:val="20"/>
        </w:rPr>
        <w:t>CONSIDERANDO</w:t>
      </w:r>
      <w:r w:rsidRPr="0042650E">
        <w:rPr>
          <w:sz w:val="20"/>
          <w:szCs w:val="20"/>
        </w:rPr>
        <w:t xml:space="preserve"> a competência privativa da União para legislar sobre normas gerais de licitação e contratação em todas as modalidades, aplicáveis às administrações públicas diretas, autárquicas e fundacionais da União, dos Estados, do Distrito Federal e dos Municípios, nos termos do artigo 22, inciso XXVII, da Constituição Federal;</w:t>
      </w:r>
    </w:p>
    <w:p w14:paraId="14F4534F" w14:textId="77777777" w:rsidR="00591AA0" w:rsidRPr="0042650E" w:rsidRDefault="00591AA0" w:rsidP="00591AA0">
      <w:pPr>
        <w:pStyle w:val="PargrafodaLista"/>
        <w:rPr>
          <w:sz w:val="20"/>
          <w:szCs w:val="20"/>
        </w:rPr>
      </w:pPr>
      <w:r w:rsidRPr="0042650E">
        <w:rPr>
          <w:b/>
          <w:bCs w:val="0"/>
          <w:sz w:val="20"/>
          <w:szCs w:val="20"/>
        </w:rPr>
        <w:t>CONSIDERANDO</w:t>
      </w:r>
      <w:r w:rsidRPr="0042650E">
        <w:rPr>
          <w:sz w:val="20"/>
          <w:szCs w:val="20"/>
        </w:rPr>
        <w:t xml:space="preserve"> que, ressalvadas as hipóteses expressamente previstas em lei, as obras, serviços, compras e alienações devem ser contratadas por meio de processo de licitação pública, garantindo a ampla concorrência e a isonomia entre os participantes;</w:t>
      </w:r>
    </w:p>
    <w:p w14:paraId="4CC1D583" w14:textId="2AAA921B" w:rsidR="00591AA0" w:rsidRPr="0042650E" w:rsidRDefault="00591AA0" w:rsidP="00591AA0">
      <w:pPr>
        <w:pStyle w:val="PargrafodaLista"/>
        <w:rPr>
          <w:sz w:val="20"/>
          <w:szCs w:val="20"/>
        </w:rPr>
      </w:pPr>
      <w:r w:rsidRPr="0042650E">
        <w:rPr>
          <w:b/>
          <w:bCs w:val="0"/>
          <w:sz w:val="20"/>
          <w:szCs w:val="20"/>
        </w:rPr>
        <w:t>CONSIDERANDO</w:t>
      </w:r>
      <w:r w:rsidRPr="0042650E">
        <w:rPr>
          <w:sz w:val="20"/>
          <w:szCs w:val="20"/>
        </w:rPr>
        <w:t xml:space="preserve"> a prerrogativa e a necessidade de regulamentar internamente os procedimentos de compras e contratações no âmbito do Poder Legislativo do Município de Anta </w:t>
      </w:r>
      <w:proofErr w:type="spellStart"/>
      <w:r w:rsidRPr="0042650E">
        <w:rPr>
          <w:sz w:val="20"/>
          <w:szCs w:val="20"/>
        </w:rPr>
        <w:t>Gorda-RS</w:t>
      </w:r>
      <w:proofErr w:type="spellEnd"/>
      <w:r w:rsidRPr="0042650E">
        <w:rPr>
          <w:sz w:val="20"/>
          <w:szCs w:val="20"/>
        </w:rPr>
        <w:t>, a fim de padronizar fluxos e conferir maior eficiência, transparência e segurança jurídica às aquisições de bens e serviços, bem como otimizar processos e reduzir a burocracia,</w:t>
      </w:r>
    </w:p>
    <w:p w14:paraId="1ABE0A1B" w14:textId="77777777" w:rsidR="00F72000" w:rsidRPr="0042650E" w:rsidRDefault="00F72000" w:rsidP="0002409A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RESOLVE:</w:t>
      </w:r>
    </w:p>
    <w:p w14:paraId="0D0A4E44" w14:textId="77777777" w:rsidR="00E66537" w:rsidRPr="0042650E" w:rsidRDefault="00E66537" w:rsidP="00E66537">
      <w:pPr>
        <w:pStyle w:val="Ttulo1"/>
        <w:keepNext/>
        <w:spacing w:after="120" w:line="240" w:lineRule="auto"/>
        <w:rPr>
          <w:sz w:val="20"/>
          <w:szCs w:val="20"/>
        </w:rPr>
      </w:pPr>
      <w:r w:rsidRPr="0042650E">
        <w:rPr>
          <w:sz w:val="20"/>
          <w:szCs w:val="20"/>
        </w:rPr>
        <w:t>LISTA DE ABREVIATURAS E SIGLAS</w:t>
      </w:r>
    </w:p>
    <w:tbl>
      <w:tblPr>
        <w:tblStyle w:val="TabelaSimples1"/>
        <w:tblW w:w="5000" w:type="pct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1828"/>
        <w:gridCol w:w="6666"/>
      </w:tblGrid>
      <w:tr w:rsidR="00E66537" w:rsidRPr="0042650E" w14:paraId="2038EB2E" w14:textId="77777777" w:rsidTr="00702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5F6938AE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CRFB/88</w:t>
            </w:r>
          </w:p>
        </w:tc>
        <w:tc>
          <w:tcPr>
            <w:tcW w:w="3924" w:type="pct"/>
          </w:tcPr>
          <w:p w14:paraId="62B04AF8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Constituição da República Federativa do Brasil de 1988</w:t>
            </w:r>
          </w:p>
        </w:tc>
      </w:tr>
      <w:tr w:rsidR="00E66537" w:rsidRPr="0042650E" w14:paraId="09C75F77" w14:textId="77777777" w:rsidTr="0070221D">
        <w:tc>
          <w:tcPr>
            <w:tcW w:w="1076" w:type="pct"/>
          </w:tcPr>
          <w:p w14:paraId="42A30A72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ETP</w:t>
            </w:r>
          </w:p>
        </w:tc>
        <w:tc>
          <w:tcPr>
            <w:tcW w:w="3924" w:type="pct"/>
          </w:tcPr>
          <w:p w14:paraId="03D47CE0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Estudo Técnico Preliminar </w:t>
            </w:r>
          </w:p>
        </w:tc>
      </w:tr>
      <w:tr w:rsidR="00E66537" w:rsidRPr="0042650E" w14:paraId="1D0B3766" w14:textId="77777777" w:rsidTr="00702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40A613A6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LGPD</w:t>
            </w:r>
          </w:p>
        </w:tc>
        <w:tc>
          <w:tcPr>
            <w:tcW w:w="3924" w:type="pct"/>
          </w:tcPr>
          <w:p w14:paraId="3E4CA2B8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Lei Geral de Proteção de Dados Pessoais</w:t>
            </w:r>
          </w:p>
        </w:tc>
      </w:tr>
      <w:tr w:rsidR="00E66537" w:rsidRPr="0042650E" w14:paraId="0C0B6BA8" w14:textId="77777777" w:rsidTr="0070221D">
        <w:tc>
          <w:tcPr>
            <w:tcW w:w="1076" w:type="pct"/>
          </w:tcPr>
          <w:p w14:paraId="525913A1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NLLC</w:t>
            </w:r>
          </w:p>
        </w:tc>
        <w:tc>
          <w:tcPr>
            <w:tcW w:w="3924" w:type="pct"/>
          </w:tcPr>
          <w:p w14:paraId="3E52DD95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Nova Lei de Licitações e Contratos Administrativos nº 14.133/2021</w:t>
            </w:r>
          </w:p>
        </w:tc>
      </w:tr>
      <w:tr w:rsidR="00E66537" w:rsidRPr="0042650E" w14:paraId="43BCFFD4" w14:textId="77777777" w:rsidTr="00702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2D2DCD4C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PCA</w:t>
            </w:r>
          </w:p>
        </w:tc>
        <w:tc>
          <w:tcPr>
            <w:tcW w:w="3924" w:type="pct"/>
          </w:tcPr>
          <w:p w14:paraId="5129981A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Plano de Contratações Anual </w:t>
            </w:r>
          </w:p>
        </w:tc>
      </w:tr>
      <w:tr w:rsidR="00E66537" w:rsidRPr="0042650E" w14:paraId="7F35CF23" w14:textId="77777777" w:rsidTr="0070221D">
        <w:tc>
          <w:tcPr>
            <w:tcW w:w="1076" w:type="pct"/>
          </w:tcPr>
          <w:p w14:paraId="44AF2E73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lastRenderedPageBreak/>
              <w:t xml:space="preserve">PNCP </w:t>
            </w:r>
          </w:p>
        </w:tc>
        <w:tc>
          <w:tcPr>
            <w:tcW w:w="3924" w:type="pct"/>
          </w:tcPr>
          <w:p w14:paraId="0F95C1BB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Portal Nacional de Contratações Públicas</w:t>
            </w:r>
          </w:p>
        </w:tc>
      </w:tr>
      <w:tr w:rsidR="00E66537" w:rsidRPr="0042650E" w14:paraId="465FEFDA" w14:textId="77777777" w:rsidTr="00702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76" w:type="pct"/>
          </w:tcPr>
          <w:p w14:paraId="4E58785C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SRP </w:t>
            </w:r>
          </w:p>
        </w:tc>
        <w:tc>
          <w:tcPr>
            <w:tcW w:w="3924" w:type="pct"/>
          </w:tcPr>
          <w:p w14:paraId="330E4AFF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Sistema de Registro de Preços </w:t>
            </w:r>
          </w:p>
        </w:tc>
      </w:tr>
      <w:tr w:rsidR="00E66537" w:rsidRPr="0042650E" w14:paraId="4A9B50E3" w14:textId="77777777" w:rsidTr="0070221D">
        <w:tc>
          <w:tcPr>
            <w:tcW w:w="1076" w:type="pct"/>
          </w:tcPr>
          <w:p w14:paraId="69816884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TR</w:t>
            </w:r>
          </w:p>
        </w:tc>
        <w:tc>
          <w:tcPr>
            <w:tcW w:w="3924" w:type="pct"/>
          </w:tcPr>
          <w:p w14:paraId="2493867E" w14:textId="77777777" w:rsidR="00E66537" w:rsidRPr="0042650E" w:rsidRDefault="00E66537" w:rsidP="0070221D">
            <w:pPr>
              <w:jc w:val="both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Termo de Referência </w:t>
            </w:r>
          </w:p>
        </w:tc>
      </w:tr>
    </w:tbl>
    <w:p w14:paraId="437AE862" w14:textId="77777777" w:rsidR="00E66537" w:rsidRPr="0042650E" w:rsidRDefault="00E66537" w:rsidP="00E66537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CAPÍTULO I</w:t>
      </w:r>
    </w:p>
    <w:p w14:paraId="5D31E239" w14:textId="77777777" w:rsidR="00E66537" w:rsidRPr="0042650E" w:rsidRDefault="00E66537" w:rsidP="00E66537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Das Referências</w:t>
      </w:r>
    </w:p>
    <w:p w14:paraId="5DC090C1" w14:textId="25680DA6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1º </w:t>
      </w:r>
      <w:r w:rsidRPr="0042650E">
        <w:rPr>
          <w:sz w:val="20"/>
          <w:szCs w:val="20"/>
        </w:rPr>
        <w:t>São referências para a presente Resolução a CRFB/88, os princípios gerais da Administração Pública, as normas de transparência e proteção de dados pessoais (LGPD), a NLLC, jurisprudência, doutrina, diretrizes e orientações da fiscalização externa e interna.</w:t>
      </w:r>
    </w:p>
    <w:p w14:paraId="3F7E131B" w14:textId="77777777" w:rsidR="00E66537" w:rsidRPr="0042650E" w:rsidRDefault="00E66537" w:rsidP="00E66537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CAPÍTULO II</w:t>
      </w:r>
    </w:p>
    <w:p w14:paraId="62AFC83A" w14:textId="77777777" w:rsidR="00E66537" w:rsidRPr="0042650E" w:rsidRDefault="00E66537" w:rsidP="00E66537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Da Fase Inicial dos Procedimentos de Compras e Contratações</w:t>
      </w:r>
    </w:p>
    <w:p w14:paraId="0CA1359C" w14:textId="57BB8889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2º</w:t>
      </w:r>
      <w:r w:rsidRPr="0042650E">
        <w:rPr>
          <w:sz w:val="20"/>
          <w:szCs w:val="20"/>
        </w:rPr>
        <w:t> O planejamento estratégico das compras e contratações serão formalizados pelo PCA, exceto as situações imprevisíveis que não possam ser planejadas e aquelas de pequeno valor, com limite regulado pelo artigo 1</w:t>
      </w:r>
      <w:r w:rsidR="00C56EDA" w:rsidRPr="0042650E">
        <w:rPr>
          <w:sz w:val="20"/>
          <w:szCs w:val="20"/>
        </w:rPr>
        <w:t>0</w:t>
      </w:r>
      <w:r w:rsidRPr="0042650E">
        <w:rPr>
          <w:sz w:val="20"/>
          <w:szCs w:val="20"/>
        </w:rPr>
        <w:t xml:space="preserve"> da presente Resolução. </w:t>
      </w:r>
    </w:p>
    <w:p w14:paraId="1F9261AA" w14:textId="64FCFEE3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§ 1º</w:t>
      </w:r>
      <w:r w:rsidRPr="0042650E">
        <w:rPr>
          <w:sz w:val="20"/>
          <w:szCs w:val="20"/>
        </w:rPr>
        <w:t xml:space="preserve"> A elaboração do PCA deverá ser concluída, preferencialmente, até o dia 15 de dezembro de cada exercício, para utilização no seguinte, sendo publicada no </w:t>
      </w:r>
      <w:r w:rsidRPr="0042650E">
        <w:rPr>
          <w:i/>
          <w:iCs/>
          <w:sz w:val="20"/>
          <w:szCs w:val="20"/>
        </w:rPr>
        <w:t>site</w:t>
      </w:r>
      <w:r w:rsidRPr="0042650E">
        <w:rPr>
          <w:sz w:val="20"/>
          <w:szCs w:val="20"/>
        </w:rPr>
        <w:t xml:space="preserve"> oficial da Câmara Municipal e no PNCP. </w:t>
      </w:r>
    </w:p>
    <w:p w14:paraId="5DDF8973" w14:textId="534E3271" w:rsidR="00E66537" w:rsidRPr="0042650E" w:rsidRDefault="00E66537" w:rsidP="00C56EDA">
      <w:pPr>
        <w:pStyle w:val="Estilo1"/>
        <w:rPr>
          <w:sz w:val="20"/>
          <w:szCs w:val="20"/>
        </w:rPr>
      </w:pPr>
      <w:r w:rsidRPr="0042650E">
        <w:rPr>
          <w:b/>
          <w:sz w:val="20"/>
          <w:szCs w:val="20"/>
        </w:rPr>
        <w:t>§ 2º </w:t>
      </w:r>
      <w:r w:rsidRPr="0042650E">
        <w:rPr>
          <w:sz w:val="20"/>
          <w:szCs w:val="20"/>
        </w:rPr>
        <w:t>Caberá aos servidores encarregados emitir orientações para elaboração do PCA, observado o prazo estabelecido no § 1º deste artigo, fazendo sua consolidação.</w:t>
      </w:r>
    </w:p>
    <w:p w14:paraId="63A8E734" w14:textId="6CDFC22E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</w:t>
      </w:r>
      <w:r w:rsidR="00C56EDA" w:rsidRPr="0042650E">
        <w:rPr>
          <w:b/>
          <w:sz w:val="20"/>
          <w:szCs w:val="20"/>
        </w:rPr>
        <w:t>3</w:t>
      </w:r>
      <w:r w:rsidRPr="0042650E">
        <w:rPr>
          <w:b/>
          <w:sz w:val="20"/>
          <w:szCs w:val="20"/>
        </w:rPr>
        <w:t>º</w:t>
      </w:r>
      <w:r w:rsidRPr="0042650E">
        <w:rPr>
          <w:sz w:val="20"/>
          <w:szCs w:val="20"/>
        </w:rPr>
        <w:t> Antes de iniciar qualquer processo de compra ou contratação, deve ser realizada verificação sobre a existência de dotação orçamentária e saldo financeiro, exceto quando for utilizado o SRP, ocasião em que a identificação da dotação orçamentária será necessária somente para emissão do pedido de empenho.</w:t>
      </w:r>
    </w:p>
    <w:p w14:paraId="61BA9B58" w14:textId="65EFE02C" w:rsidR="00E66537" w:rsidRPr="0042650E" w:rsidRDefault="00E66537" w:rsidP="00E66537">
      <w:pPr>
        <w:pStyle w:val="Art"/>
        <w:rPr>
          <w:color w:val="00B050"/>
          <w:sz w:val="20"/>
          <w:szCs w:val="20"/>
        </w:rPr>
      </w:pPr>
      <w:r w:rsidRPr="0042650E">
        <w:rPr>
          <w:b/>
          <w:sz w:val="20"/>
          <w:szCs w:val="20"/>
        </w:rPr>
        <w:t>Art. </w:t>
      </w:r>
      <w:r w:rsidR="00C56EDA" w:rsidRPr="0042650E">
        <w:rPr>
          <w:b/>
          <w:sz w:val="20"/>
          <w:szCs w:val="20"/>
        </w:rPr>
        <w:t>4</w:t>
      </w:r>
      <w:r w:rsidRPr="0042650E">
        <w:rPr>
          <w:b/>
          <w:sz w:val="20"/>
          <w:szCs w:val="20"/>
        </w:rPr>
        <w:t>º</w:t>
      </w:r>
      <w:r w:rsidRPr="0042650E">
        <w:rPr>
          <w:sz w:val="20"/>
          <w:szCs w:val="20"/>
        </w:rPr>
        <w:t> Nenhuma compra ou contratação poderá ser realizada sem a emissão da Requisição no sistema informatizado.</w:t>
      </w:r>
    </w:p>
    <w:p w14:paraId="4EE6568F" w14:textId="1B50DCEC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</w:t>
      </w:r>
      <w:r w:rsidR="00C56EDA" w:rsidRPr="0042650E">
        <w:rPr>
          <w:b/>
          <w:sz w:val="20"/>
          <w:szCs w:val="20"/>
        </w:rPr>
        <w:t>5</w:t>
      </w:r>
      <w:r w:rsidRPr="0042650E">
        <w:rPr>
          <w:b/>
          <w:sz w:val="20"/>
          <w:szCs w:val="20"/>
        </w:rPr>
        <w:t>º</w:t>
      </w:r>
      <w:r w:rsidRPr="0042650E">
        <w:rPr>
          <w:sz w:val="20"/>
          <w:szCs w:val="20"/>
        </w:rPr>
        <w:t> Após a emissão da Requisição, o requisitante deverá elaborar o ETP, preferencialmente no modelo adotado pela Câmara Municipal, que deverá contemplar, no mínimo, os seguintes requisitos:</w:t>
      </w:r>
    </w:p>
    <w:p w14:paraId="759392BF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I – </w:t>
      </w:r>
      <w:proofErr w:type="gramStart"/>
      <w:r w:rsidRPr="0042650E">
        <w:rPr>
          <w:sz w:val="20"/>
          <w:szCs w:val="20"/>
        </w:rPr>
        <w:t>descrição</w:t>
      </w:r>
      <w:proofErr w:type="gramEnd"/>
      <w:r w:rsidRPr="0042650E">
        <w:rPr>
          <w:sz w:val="20"/>
          <w:szCs w:val="20"/>
        </w:rPr>
        <w:t xml:space="preserve"> da necessidade da contratação, considerado o problema a ser resolvido sob a perspectiva do interesse público; </w:t>
      </w:r>
    </w:p>
    <w:p w14:paraId="3971B1AF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II – </w:t>
      </w:r>
      <w:proofErr w:type="gramStart"/>
      <w:r w:rsidRPr="0042650E">
        <w:rPr>
          <w:sz w:val="20"/>
          <w:szCs w:val="20"/>
        </w:rPr>
        <w:t>estimativas</w:t>
      </w:r>
      <w:proofErr w:type="gramEnd"/>
      <w:r w:rsidRPr="0042650E">
        <w:rPr>
          <w:sz w:val="20"/>
          <w:szCs w:val="20"/>
        </w:rPr>
        <w:t xml:space="preserve"> das quantidades para a contratação, acompanhadas das memórias de cálculo e dos documentos que lhes dão suporte, que considerem interdependências com outras contratações, de modo a possibilitar economia de escala;</w:t>
      </w:r>
    </w:p>
    <w:p w14:paraId="59BA49A2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III – </w:t>
      </w:r>
      <w:r w:rsidRPr="0042650E">
        <w:rPr>
          <w:sz w:val="20"/>
          <w:szCs w:val="20"/>
        </w:rPr>
        <w:t>estimativa do valor da contratação;</w:t>
      </w:r>
    </w:p>
    <w:p w14:paraId="5AA7BB7E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IV – </w:t>
      </w:r>
      <w:proofErr w:type="gramStart"/>
      <w:r w:rsidRPr="0042650E">
        <w:rPr>
          <w:sz w:val="20"/>
          <w:szCs w:val="20"/>
        </w:rPr>
        <w:t>justificativas</w:t>
      </w:r>
      <w:proofErr w:type="gramEnd"/>
      <w:r w:rsidRPr="0042650E">
        <w:rPr>
          <w:sz w:val="20"/>
          <w:szCs w:val="20"/>
        </w:rPr>
        <w:t xml:space="preserve"> para o parcelamento ou não da contratação;</w:t>
      </w:r>
    </w:p>
    <w:p w14:paraId="6FD0C356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V –</w:t>
      </w:r>
      <w:r w:rsidRPr="0042650E">
        <w:rPr>
          <w:sz w:val="20"/>
          <w:szCs w:val="20"/>
        </w:rPr>
        <w:t> </w:t>
      </w:r>
      <w:proofErr w:type="gramStart"/>
      <w:r w:rsidRPr="0042650E">
        <w:rPr>
          <w:sz w:val="20"/>
          <w:szCs w:val="20"/>
        </w:rPr>
        <w:t>posicionamento</w:t>
      </w:r>
      <w:proofErr w:type="gramEnd"/>
      <w:r w:rsidRPr="0042650E">
        <w:rPr>
          <w:sz w:val="20"/>
          <w:szCs w:val="20"/>
        </w:rPr>
        <w:t xml:space="preserve"> conclusivo sobre a adequação da contratação para o atendimento da necessidade a que se destina;</w:t>
      </w:r>
    </w:p>
    <w:p w14:paraId="36E2B008" w14:textId="69CE31B2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</w:t>
      </w:r>
      <w:r w:rsidR="00C56EDA" w:rsidRPr="0042650E">
        <w:rPr>
          <w:b/>
          <w:sz w:val="20"/>
          <w:szCs w:val="20"/>
        </w:rPr>
        <w:t>6</w:t>
      </w:r>
      <w:r w:rsidRPr="0042650E">
        <w:rPr>
          <w:b/>
          <w:sz w:val="20"/>
          <w:szCs w:val="20"/>
        </w:rPr>
        <w:t>º</w:t>
      </w:r>
      <w:r w:rsidRPr="0042650E">
        <w:rPr>
          <w:sz w:val="20"/>
          <w:szCs w:val="20"/>
        </w:rPr>
        <w:t> Fica dispensado o ETP nas hipóteses dos incisos I, II, III, VII e VIII e § 7º, do artigo 75, da Lei Federal nº 14.133/2021.</w:t>
      </w:r>
    </w:p>
    <w:p w14:paraId="3187EB10" w14:textId="77777777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Parágrafo único.</w:t>
      </w:r>
      <w:r w:rsidRPr="0042650E">
        <w:rPr>
          <w:sz w:val="20"/>
          <w:szCs w:val="20"/>
        </w:rPr>
        <w:t xml:space="preserve"> Nas hipóteses em que o ETP é dispensado, faculta-se a sua elaboração quando for conveniente a ampliação do estudo para definição da melhor solução a ser alcançada.</w:t>
      </w:r>
    </w:p>
    <w:p w14:paraId="46519B94" w14:textId="37B850C1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</w:t>
      </w:r>
      <w:r w:rsidR="00C56EDA" w:rsidRPr="0042650E">
        <w:rPr>
          <w:b/>
          <w:sz w:val="20"/>
          <w:szCs w:val="20"/>
        </w:rPr>
        <w:t>7</w:t>
      </w:r>
      <w:r w:rsidRPr="0042650E">
        <w:rPr>
          <w:b/>
          <w:sz w:val="20"/>
          <w:szCs w:val="20"/>
        </w:rPr>
        <w:t>º</w:t>
      </w:r>
      <w:r w:rsidRPr="0042650E">
        <w:rPr>
          <w:sz w:val="20"/>
          <w:szCs w:val="20"/>
        </w:rPr>
        <w:t> Definida a solução a partir do ETP, será elaborado o TR, utilizando preferencialmente o modelo padrão adotado pel</w:t>
      </w:r>
      <w:r w:rsidR="00291DD4" w:rsidRPr="0042650E">
        <w:rPr>
          <w:sz w:val="20"/>
          <w:szCs w:val="20"/>
        </w:rPr>
        <w:t>a Câmara Municipal</w:t>
      </w:r>
      <w:r w:rsidRPr="0042650E">
        <w:rPr>
          <w:sz w:val="20"/>
          <w:szCs w:val="20"/>
        </w:rPr>
        <w:t>, contemplando os seguintes requisitos:</w:t>
      </w:r>
    </w:p>
    <w:p w14:paraId="43CA63A4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I – </w:t>
      </w:r>
      <w:proofErr w:type="gramStart"/>
      <w:r w:rsidRPr="0042650E">
        <w:rPr>
          <w:sz w:val="20"/>
          <w:szCs w:val="20"/>
        </w:rPr>
        <w:t>número</w:t>
      </w:r>
      <w:proofErr w:type="gramEnd"/>
      <w:r w:rsidRPr="0042650E">
        <w:rPr>
          <w:sz w:val="20"/>
          <w:szCs w:val="20"/>
        </w:rPr>
        <w:t xml:space="preserve"> do processo administrativo; </w:t>
      </w:r>
    </w:p>
    <w:p w14:paraId="465D737A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II – </w:t>
      </w:r>
      <w:proofErr w:type="gramStart"/>
      <w:r w:rsidRPr="0042650E">
        <w:rPr>
          <w:sz w:val="20"/>
          <w:szCs w:val="20"/>
        </w:rPr>
        <w:t>definição</w:t>
      </w:r>
      <w:proofErr w:type="gramEnd"/>
      <w:r w:rsidRPr="0042650E">
        <w:rPr>
          <w:sz w:val="20"/>
          <w:szCs w:val="20"/>
        </w:rPr>
        <w:t xml:space="preserve"> do objeto com a quantidade máxima de detalhes, regras de fornecimento e prazos de entrega, quantitativos, prazo estimado da contratação e prorrogação;</w:t>
      </w:r>
    </w:p>
    <w:p w14:paraId="0A23F48D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III – </w:t>
      </w:r>
      <w:r w:rsidRPr="0042650E">
        <w:rPr>
          <w:sz w:val="20"/>
          <w:szCs w:val="20"/>
        </w:rPr>
        <w:t>justificativa e fundamentação da contratação, que consiste na referência aos estudos realizados para a realização da aquisição ou contratação;</w:t>
      </w:r>
    </w:p>
    <w:p w14:paraId="206987E9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IV – </w:t>
      </w:r>
      <w:proofErr w:type="gramStart"/>
      <w:r w:rsidRPr="0042650E">
        <w:rPr>
          <w:sz w:val="20"/>
          <w:szCs w:val="20"/>
        </w:rPr>
        <w:t>descrição</w:t>
      </w:r>
      <w:proofErr w:type="gramEnd"/>
      <w:r w:rsidRPr="0042650E">
        <w:rPr>
          <w:sz w:val="20"/>
          <w:szCs w:val="20"/>
        </w:rPr>
        <w:t xml:space="preserve"> da solução como um todo, considerado todo o ciclo de vida do objeto;</w:t>
      </w:r>
    </w:p>
    <w:p w14:paraId="0B8FC273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V –</w:t>
      </w:r>
      <w:r w:rsidRPr="0042650E">
        <w:rPr>
          <w:sz w:val="20"/>
          <w:szCs w:val="20"/>
        </w:rPr>
        <w:t> </w:t>
      </w:r>
      <w:proofErr w:type="gramStart"/>
      <w:r w:rsidRPr="0042650E">
        <w:rPr>
          <w:sz w:val="20"/>
          <w:szCs w:val="20"/>
        </w:rPr>
        <w:t>requisitos</w:t>
      </w:r>
      <w:proofErr w:type="gramEnd"/>
      <w:r w:rsidRPr="0042650E">
        <w:rPr>
          <w:sz w:val="20"/>
          <w:szCs w:val="20"/>
        </w:rPr>
        <w:t xml:space="preserve"> da aquisição ou contratação, definindo se o objeto é comum ou especial;</w:t>
      </w:r>
    </w:p>
    <w:p w14:paraId="25237039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VI –</w:t>
      </w:r>
      <w:r w:rsidRPr="0042650E">
        <w:rPr>
          <w:sz w:val="20"/>
          <w:szCs w:val="20"/>
        </w:rPr>
        <w:t xml:space="preserve"> modelo de execução do objeto, que consiste na definição de como o contrato ou ata deverá produzir os resultados pretendidos desde o seu início até o seu encerramento;</w:t>
      </w:r>
    </w:p>
    <w:p w14:paraId="5B950842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VII –</w:t>
      </w:r>
      <w:r w:rsidRPr="0042650E">
        <w:rPr>
          <w:sz w:val="20"/>
          <w:szCs w:val="20"/>
        </w:rPr>
        <w:t xml:space="preserve"> modelo de gestão e fiscalização, descrevendo como a execução do objeto será acompanhada e fiscalizada pelo órgão ou entidade;</w:t>
      </w:r>
    </w:p>
    <w:p w14:paraId="7F6AA5BD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VIII –</w:t>
      </w:r>
      <w:r w:rsidRPr="0042650E">
        <w:rPr>
          <w:sz w:val="20"/>
          <w:szCs w:val="20"/>
        </w:rPr>
        <w:t xml:space="preserve"> critérios de medição e de pagamento;</w:t>
      </w:r>
    </w:p>
    <w:p w14:paraId="396534BA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IX –</w:t>
      </w:r>
      <w:r w:rsidRPr="0042650E">
        <w:rPr>
          <w:sz w:val="20"/>
          <w:szCs w:val="20"/>
        </w:rPr>
        <w:t xml:space="preserve"> </w:t>
      </w:r>
      <w:proofErr w:type="gramStart"/>
      <w:r w:rsidRPr="0042650E">
        <w:rPr>
          <w:sz w:val="20"/>
          <w:szCs w:val="20"/>
        </w:rPr>
        <w:t>forma e critérios</w:t>
      </w:r>
      <w:proofErr w:type="gramEnd"/>
      <w:r w:rsidRPr="0042650E">
        <w:rPr>
          <w:sz w:val="20"/>
          <w:szCs w:val="20"/>
        </w:rPr>
        <w:t xml:space="preserve"> de seleção do fornecedor;</w:t>
      </w:r>
    </w:p>
    <w:p w14:paraId="7AA4A127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X –</w:t>
      </w:r>
      <w:r w:rsidRPr="0042650E">
        <w:rPr>
          <w:sz w:val="20"/>
          <w:szCs w:val="20"/>
        </w:rPr>
        <w:t xml:space="preserve"> </w:t>
      </w:r>
      <w:proofErr w:type="gramStart"/>
      <w:r w:rsidRPr="0042650E">
        <w:rPr>
          <w:sz w:val="20"/>
          <w:szCs w:val="20"/>
        </w:rPr>
        <w:t>estimativa</w:t>
      </w:r>
      <w:proofErr w:type="gramEnd"/>
      <w:r w:rsidRPr="0042650E">
        <w:rPr>
          <w:sz w:val="20"/>
          <w:szCs w:val="20"/>
        </w:rPr>
        <w:t xml:space="preserve"> do valor da aquisição ou contratação;</w:t>
      </w:r>
    </w:p>
    <w:p w14:paraId="18C7505A" w14:textId="77777777" w:rsidR="00E66537" w:rsidRPr="0042650E" w:rsidRDefault="00E66537" w:rsidP="00E66537">
      <w:pPr>
        <w:pStyle w:val="Estilo2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XI –</w:t>
      </w:r>
      <w:r w:rsidRPr="0042650E">
        <w:rPr>
          <w:sz w:val="20"/>
          <w:szCs w:val="20"/>
        </w:rPr>
        <w:t xml:space="preserve"> adequação orçamentária (exceto no caso de SRP).</w:t>
      </w:r>
    </w:p>
    <w:p w14:paraId="316257D9" w14:textId="721ECE79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 xml:space="preserve">Art. </w:t>
      </w:r>
      <w:r w:rsidR="00C56EDA" w:rsidRPr="0042650E">
        <w:rPr>
          <w:b/>
          <w:sz w:val="20"/>
          <w:szCs w:val="20"/>
        </w:rPr>
        <w:t>8</w:t>
      </w:r>
      <w:r w:rsidRPr="0042650E">
        <w:rPr>
          <w:b/>
          <w:sz w:val="20"/>
          <w:szCs w:val="20"/>
        </w:rPr>
        <w:t>º</w:t>
      </w:r>
      <w:r w:rsidRPr="0042650E">
        <w:rPr>
          <w:sz w:val="20"/>
          <w:szCs w:val="20"/>
        </w:rPr>
        <w:t xml:space="preserve"> O ETP e o TR devem ser preferencialmente elaborados pelo </w:t>
      </w:r>
      <w:r w:rsidR="00C56EDA" w:rsidRPr="0042650E">
        <w:rPr>
          <w:sz w:val="20"/>
          <w:szCs w:val="20"/>
        </w:rPr>
        <w:t>r</w:t>
      </w:r>
      <w:r w:rsidRPr="0042650E">
        <w:rPr>
          <w:sz w:val="20"/>
          <w:szCs w:val="20"/>
        </w:rPr>
        <w:t>equisitante</w:t>
      </w:r>
      <w:r w:rsidR="00C56EDA" w:rsidRPr="0042650E">
        <w:rPr>
          <w:sz w:val="20"/>
          <w:szCs w:val="20"/>
        </w:rPr>
        <w:t xml:space="preserve"> ao Agente de Contratação</w:t>
      </w:r>
      <w:r w:rsidRPr="0042650E">
        <w:rPr>
          <w:sz w:val="20"/>
          <w:szCs w:val="20"/>
        </w:rPr>
        <w:t xml:space="preserve"> que, no prazo de até 05 (cinco) dias úteis, salvo os casos de alta complexidade da demanda, definirá sobre o andamento do procedimento ou informará o requisitante sobre medidas que precisam ser adotadas para a continuidade do procedimento de compra ou contratação.</w:t>
      </w:r>
    </w:p>
    <w:p w14:paraId="24D100CB" w14:textId="0D14D589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</w:t>
      </w:r>
      <w:r w:rsidR="00C56EDA" w:rsidRPr="0042650E">
        <w:rPr>
          <w:b/>
          <w:sz w:val="20"/>
          <w:szCs w:val="20"/>
        </w:rPr>
        <w:t>9º</w:t>
      </w:r>
      <w:r w:rsidRPr="0042650E">
        <w:rPr>
          <w:sz w:val="20"/>
          <w:szCs w:val="20"/>
        </w:rPr>
        <w:t> Quando o objeto da demanda dispuser sobre obras e/ou serviços de arquitetura e engenharia, além dos documentos já citados, o processo inicial deverá ser instruído com Projeto Básico e todos os documentos técnicos correspondentes.</w:t>
      </w:r>
    </w:p>
    <w:p w14:paraId="011820E0" w14:textId="77777777" w:rsidR="00E66537" w:rsidRPr="0042650E" w:rsidRDefault="00E66537" w:rsidP="00A2793A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CAPÍTULO III</w:t>
      </w:r>
    </w:p>
    <w:p w14:paraId="15B1DC89" w14:textId="77777777" w:rsidR="00E66537" w:rsidRPr="0042650E" w:rsidRDefault="00E66537" w:rsidP="00A2793A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Das Regras e Limites para Pequenas Compras e Contratações</w:t>
      </w:r>
    </w:p>
    <w:p w14:paraId="63663F39" w14:textId="799D6AFE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1</w:t>
      </w:r>
      <w:r w:rsidR="00C56EDA" w:rsidRPr="0042650E">
        <w:rPr>
          <w:b/>
          <w:sz w:val="20"/>
          <w:szCs w:val="20"/>
        </w:rPr>
        <w:t>0</w:t>
      </w:r>
      <w:r w:rsidRPr="0042650E">
        <w:rPr>
          <w:b/>
          <w:sz w:val="20"/>
          <w:szCs w:val="20"/>
        </w:rPr>
        <w:t>.</w:t>
      </w:r>
      <w:r w:rsidRPr="0042650E">
        <w:rPr>
          <w:sz w:val="20"/>
          <w:szCs w:val="20"/>
        </w:rPr>
        <w:t> Para fins dest</w:t>
      </w:r>
      <w:r w:rsidR="00C67A52" w:rsidRPr="0042650E">
        <w:rPr>
          <w:sz w:val="20"/>
          <w:szCs w:val="20"/>
        </w:rPr>
        <w:t>a Resolução</w:t>
      </w:r>
      <w:r w:rsidRPr="0042650E">
        <w:rPr>
          <w:sz w:val="20"/>
          <w:szCs w:val="20"/>
        </w:rPr>
        <w:t>, consideram-se “Pequenas Compras” aquelas cujo valor não exceda R$ 13.098,41 (treze mil, noventa e oito reais e quarenta e um centavos), com base no artigo 95, § 2º da NLLC, podendo o valor ser atualizado pel</w:t>
      </w:r>
      <w:r w:rsidR="00A2793A" w:rsidRPr="0042650E">
        <w:rPr>
          <w:sz w:val="20"/>
          <w:szCs w:val="20"/>
        </w:rPr>
        <w:t>a Câmara Municipal</w:t>
      </w:r>
      <w:r w:rsidRPr="0042650E">
        <w:rPr>
          <w:sz w:val="20"/>
          <w:szCs w:val="20"/>
        </w:rPr>
        <w:t xml:space="preserve"> no mesmo parâmetro do Governo Federal.</w:t>
      </w:r>
    </w:p>
    <w:p w14:paraId="64944FAD" w14:textId="3AF978B2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1</w:t>
      </w:r>
      <w:r w:rsidR="00C56EDA" w:rsidRPr="0042650E">
        <w:rPr>
          <w:b/>
          <w:sz w:val="20"/>
          <w:szCs w:val="20"/>
        </w:rPr>
        <w:t>1</w:t>
      </w:r>
      <w:r w:rsidRPr="0042650E">
        <w:rPr>
          <w:b/>
          <w:sz w:val="20"/>
          <w:szCs w:val="20"/>
        </w:rPr>
        <w:t>.</w:t>
      </w:r>
      <w:r w:rsidRPr="0042650E">
        <w:rPr>
          <w:sz w:val="20"/>
          <w:szCs w:val="20"/>
        </w:rPr>
        <w:t> As pequenas compras têm por finalidade atender despesas de pronto pagamento, sendo caracterizadas por situações excepcionais, de atendimento imediato e baixo valor, de natureza eventual e não rotineira, cujas peculiaridades inviabilizam ou tornam desproporcional a realização de planejamento prévio e a instrução completa típica das contratações ordinárias.</w:t>
      </w:r>
    </w:p>
    <w:p w14:paraId="28C17977" w14:textId="11761B42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 1</w:t>
      </w:r>
      <w:r w:rsidR="00C56EDA" w:rsidRPr="0042650E">
        <w:rPr>
          <w:b/>
          <w:sz w:val="20"/>
          <w:szCs w:val="20"/>
        </w:rPr>
        <w:t>2</w:t>
      </w:r>
      <w:r w:rsidRPr="0042650E">
        <w:rPr>
          <w:b/>
          <w:sz w:val="20"/>
          <w:szCs w:val="20"/>
        </w:rPr>
        <w:t>.</w:t>
      </w:r>
      <w:r w:rsidRPr="0042650E">
        <w:rPr>
          <w:sz w:val="20"/>
          <w:szCs w:val="20"/>
        </w:rPr>
        <w:t xml:space="preserve"> Nas hipóteses citadas no artigo 1</w:t>
      </w:r>
      <w:r w:rsidR="00C56EDA" w:rsidRPr="0042650E">
        <w:rPr>
          <w:sz w:val="20"/>
          <w:szCs w:val="20"/>
        </w:rPr>
        <w:t>1</w:t>
      </w:r>
      <w:r w:rsidRPr="0042650E">
        <w:rPr>
          <w:sz w:val="20"/>
          <w:szCs w:val="20"/>
        </w:rPr>
        <w:t xml:space="preserve">, a adoção do rito integral pode revelar-se antieconômica, pois o custo administrativo de formalização (tempo de servidores, tramitação, controles e registros) pode superar o próprio valor da aquisição, sem ganho proporcional de eficiência ou de controle.  </w:t>
      </w:r>
    </w:p>
    <w:p w14:paraId="215D8700" w14:textId="1833390E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 1</w:t>
      </w:r>
      <w:r w:rsidR="00C56EDA" w:rsidRPr="0042650E">
        <w:rPr>
          <w:b/>
          <w:sz w:val="20"/>
          <w:szCs w:val="20"/>
        </w:rPr>
        <w:t>3</w:t>
      </w:r>
      <w:r w:rsidRPr="0042650E">
        <w:rPr>
          <w:b/>
          <w:sz w:val="20"/>
          <w:szCs w:val="20"/>
        </w:rPr>
        <w:t>.</w:t>
      </w:r>
      <w:r w:rsidRPr="0042650E">
        <w:rPr>
          <w:sz w:val="20"/>
          <w:szCs w:val="20"/>
        </w:rPr>
        <w:t xml:space="preserve"> As despesas classificadas no artigo 1</w:t>
      </w:r>
      <w:r w:rsidR="00C56EDA" w:rsidRPr="0042650E">
        <w:rPr>
          <w:sz w:val="20"/>
          <w:szCs w:val="20"/>
        </w:rPr>
        <w:t>4</w:t>
      </w:r>
      <w:r w:rsidRPr="0042650E">
        <w:rPr>
          <w:sz w:val="20"/>
          <w:szCs w:val="20"/>
        </w:rPr>
        <w:t xml:space="preserve"> como “Compra Direta”, destinadas a atender situações de pronto pagamento, não </w:t>
      </w:r>
      <w:r w:rsidR="00C56EDA" w:rsidRPr="0042650E">
        <w:rPr>
          <w:sz w:val="20"/>
          <w:szCs w:val="20"/>
        </w:rPr>
        <w:t>deverão</w:t>
      </w:r>
      <w:r w:rsidRPr="0042650E">
        <w:rPr>
          <w:sz w:val="20"/>
          <w:szCs w:val="20"/>
        </w:rPr>
        <w:t xml:space="preserve"> corresponder a gastos previsíveis ou recorrentes, nem resultar de parcelamento ou de qualquer forma de fracionamento indevido do objeto ou da despesa, com a finalidade de enquadramento na presente hipótese, e o descumprimento desta vedação poderá ensejar a responsabilização do requerente, na forma da legislação aplicável.</w:t>
      </w:r>
    </w:p>
    <w:p w14:paraId="1C10CA64" w14:textId="568DCCAE" w:rsidR="00E66537" w:rsidRPr="0042650E" w:rsidRDefault="00E66537" w:rsidP="00E66537">
      <w:pPr>
        <w:pStyle w:val="Art"/>
        <w:spacing w:after="160"/>
        <w:rPr>
          <w:sz w:val="20"/>
          <w:szCs w:val="20"/>
        </w:rPr>
      </w:pPr>
      <w:r w:rsidRPr="0042650E">
        <w:rPr>
          <w:b/>
          <w:sz w:val="20"/>
          <w:szCs w:val="20"/>
        </w:rPr>
        <w:t>Art. 1</w:t>
      </w:r>
      <w:r w:rsidR="00C56EDA" w:rsidRPr="0042650E">
        <w:rPr>
          <w:b/>
          <w:sz w:val="20"/>
          <w:szCs w:val="20"/>
        </w:rPr>
        <w:t>4</w:t>
      </w:r>
      <w:r w:rsidRPr="0042650E">
        <w:rPr>
          <w:b/>
          <w:sz w:val="20"/>
          <w:szCs w:val="20"/>
        </w:rPr>
        <w:t>. </w:t>
      </w:r>
      <w:r w:rsidRPr="0042650E">
        <w:rPr>
          <w:sz w:val="20"/>
          <w:szCs w:val="20"/>
        </w:rPr>
        <w:t>Fica estabelecido o seguinte escalonamento de valor para a realização de pequenas compras</w:t>
      </w:r>
      <w:r w:rsidR="00C56EDA" w:rsidRPr="0042650E">
        <w:rPr>
          <w:sz w:val="20"/>
          <w:szCs w:val="20"/>
        </w:rPr>
        <w:t xml:space="preserve">/contratações de pronto pagamento e </w:t>
      </w:r>
      <w:r w:rsidRPr="0042650E">
        <w:rPr>
          <w:sz w:val="20"/>
          <w:szCs w:val="20"/>
        </w:rPr>
        <w:t>dispensas</w:t>
      </w:r>
      <w:r w:rsidR="00C56EDA" w:rsidRPr="0042650E">
        <w:rPr>
          <w:sz w:val="20"/>
          <w:szCs w:val="20"/>
        </w:rPr>
        <w:t xml:space="preserve"> por pequeno valor</w:t>
      </w:r>
      <w:r w:rsidRPr="0042650E">
        <w:rPr>
          <w:sz w:val="20"/>
          <w:szCs w:val="20"/>
        </w:rPr>
        <w:t>:</w:t>
      </w:r>
    </w:p>
    <w:tbl>
      <w:tblPr>
        <w:tblStyle w:val="TabeladeGradeClara"/>
        <w:tblW w:w="5000" w:type="pct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2136"/>
        <w:gridCol w:w="2281"/>
        <w:gridCol w:w="4077"/>
      </w:tblGrid>
      <w:tr w:rsidR="00E66537" w:rsidRPr="0042650E" w14:paraId="60C8A9F8" w14:textId="77777777" w:rsidTr="00A2793A">
        <w:trPr>
          <w:trHeight w:val="397"/>
        </w:trPr>
        <w:tc>
          <w:tcPr>
            <w:tcW w:w="1257" w:type="pct"/>
            <w:shd w:val="clear" w:color="auto" w:fill="BFBFBF" w:themeFill="background1" w:themeFillShade="BF"/>
            <w:vAlign w:val="center"/>
          </w:tcPr>
          <w:p w14:paraId="4B312B6E" w14:textId="77777777" w:rsidR="00E66537" w:rsidRPr="0042650E" w:rsidRDefault="00E66537" w:rsidP="00A2793A">
            <w:pPr>
              <w:keepNext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Valor</w:t>
            </w:r>
          </w:p>
        </w:tc>
        <w:tc>
          <w:tcPr>
            <w:tcW w:w="1343" w:type="pct"/>
            <w:shd w:val="clear" w:color="auto" w:fill="BFBFBF" w:themeFill="background1" w:themeFillShade="BF"/>
            <w:vAlign w:val="center"/>
          </w:tcPr>
          <w:p w14:paraId="385BF147" w14:textId="77777777" w:rsidR="00E66537" w:rsidRPr="0042650E" w:rsidRDefault="00E66537" w:rsidP="00A2793A">
            <w:pPr>
              <w:keepNext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2400" w:type="pct"/>
            <w:shd w:val="clear" w:color="auto" w:fill="BFBFBF" w:themeFill="background1" w:themeFillShade="BF"/>
            <w:vAlign w:val="center"/>
          </w:tcPr>
          <w:p w14:paraId="3A441439" w14:textId="77777777" w:rsidR="00E66537" w:rsidRPr="0042650E" w:rsidRDefault="00E66537" w:rsidP="00A2793A">
            <w:pPr>
              <w:keepNext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Documentos Obrigatórios (mínimo)</w:t>
            </w:r>
          </w:p>
        </w:tc>
      </w:tr>
      <w:tr w:rsidR="00E66537" w:rsidRPr="0042650E" w14:paraId="55663901" w14:textId="77777777" w:rsidTr="00A2793A">
        <w:trPr>
          <w:trHeight w:val="20"/>
        </w:trPr>
        <w:tc>
          <w:tcPr>
            <w:tcW w:w="1257" w:type="pct"/>
            <w:shd w:val="clear" w:color="auto" w:fill="F2F2F2" w:themeFill="background1" w:themeFillShade="F2"/>
            <w:vAlign w:val="center"/>
          </w:tcPr>
          <w:p w14:paraId="0D2D7214" w14:textId="790338D9" w:rsidR="00E66537" w:rsidRPr="0042650E" w:rsidRDefault="00E66537" w:rsidP="00A2793A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 R$ 0,01 </w:t>
            </w: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 xml:space="preserve">até </w:t>
            </w: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 xml:space="preserve">R$ </w:t>
            </w:r>
            <w:r w:rsidR="00C56EDA"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343" w:type="pct"/>
            <w:shd w:val="clear" w:color="auto" w:fill="F2F2F2" w:themeFill="background1" w:themeFillShade="F2"/>
            <w:vAlign w:val="center"/>
          </w:tcPr>
          <w:p w14:paraId="237E1AB8" w14:textId="1899E8B8" w:rsidR="00E66537" w:rsidRPr="0042650E" w:rsidRDefault="00C56EDA" w:rsidP="00A2793A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Pequena Compra </w:t>
            </w: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Pronto Pagamento</w:t>
            </w:r>
            <w:r w:rsidR="00E66537"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E66537"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 xml:space="preserve">Art. 95, § 2º </w:t>
            </w:r>
          </w:p>
        </w:tc>
        <w:tc>
          <w:tcPr>
            <w:tcW w:w="2400" w:type="pct"/>
            <w:shd w:val="clear" w:color="auto" w:fill="F2F2F2" w:themeFill="background1" w:themeFillShade="F2"/>
          </w:tcPr>
          <w:p w14:paraId="37D3DA30" w14:textId="77777777" w:rsidR="00E66537" w:rsidRPr="0042650E" w:rsidRDefault="00E66537" w:rsidP="00A2793A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Requisição, nota de empenho e documento fiscal do fornecedor. Fica dispensada a Pesquisa de Preços em razão do pequeno valor. </w:t>
            </w:r>
          </w:p>
        </w:tc>
      </w:tr>
      <w:tr w:rsidR="00E66537" w:rsidRPr="0042650E" w14:paraId="7603F2B4" w14:textId="77777777" w:rsidTr="00A2793A">
        <w:trPr>
          <w:trHeight w:val="20"/>
        </w:trPr>
        <w:tc>
          <w:tcPr>
            <w:tcW w:w="1257" w:type="pct"/>
            <w:shd w:val="clear" w:color="auto" w:fill="F2F2F2" w:themeFill="background1" w:themeFillShade="F2"/>
            <w:vAlign w:val="center"/>
          </w:tcPr>
          <w:p w14:paraId="4DA5C5D6" w14:textId="1FA1D04E" w:rsidR="00E66537" w:rsidRPr="0042650E" w:rsidRDefault="00E66537" w:rsidP="00A2793A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De R$ </w:t>
            </w:r>
            <w:r w:rsidR="00C56EDA"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1.500</w:t>
            </w: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,01 até R$</w:t>
            </w:r>
            <w:r w:rsidRPr="0042650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C56EDA" w:rsidRPr="0042650E">
              <w:rPr>
                <w:rFonts w:asciiTheme="majorHAnsi" w:hAnsiTheme="majorHAnsi" w:cstheme="majorHAnsi"/>
                <w:sz w:val="20"/>
                <w:szCs w:val="20"/>
              </w:rPr>
              <w:t>5.000,00</w:t>
            </w:r>
          </w:p>
        </w:tc>
        <w:tc>
          <w:tcPr>
            <w:tcW w:w="1343" w:type="pct"/>
            <w:shd w:val="clear" w:color="auto" w:fill="F2F2F2" w:themeFill="background1" w:themeFillShade="F2"/>
            <w:vAlign w:val="center"/>
          </w:tcPr>
          <w:p w14:paraId="6BA380DA" w14:textId="10804011" w:rsidR="00E66537" w:rsidRPr="0042650E" w:rsidRDefault="00C56EDA" w:rsidP="00A2793A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Pequena </w:t>
            </w:r>
            <w:r w:rsidR="00E66537"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Compr</w:t>
            </w: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</w:t>
            </w: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Pronto Pagamento</w:t>
            </w:r>
            <w:r w:rsidR="00E66537"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E66537"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 xml:space="preserve">Art. 95, § 2º </w:t>
            </w:r>
          </w:p>
        </w:tc>
        <w:tc>
          <w:tcPr>
            <w:tcW w:w="2400" w:type="pct"/>
            <w:shd w:val="clear" w:color="auto" w:fill="F2F2F2" w:themeFill="background1" w:themeFillShade="F2"/>
          </w:tcPr>
          <w:p w14:paraId="7A930A6D" w14:textId="77777777" w:rsidR="00E66537" w:rsidRPr="0042650E" w:rsidRDefault="00E66537" w:rsidP="00A2793A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Requisição, Pesquisa de Preços contemplando ao menos 3 (três) comprovações de valor praticado no mercado, habilitação jurídica do fornecedor, nota de empenho e documento fiscal correspondente.   </w:t>
            </w:r>
          </w:p>
        </w:tc>
      </w:tr>
      <w:tr w:rsidR="00E66537" w:rsidRPr="0042650E" w14:paraId="521C4BB9" w14:textId="77777777" w:rsidTr="00A2793A">
        <w:trPr>
          <w:trHeight w:val="20"/>
        </w:trPr>
        <w:tc>
          <w:tcPr>
            <w:tcW w:w="1257" w:type="pct"/>
            <w:shd w:val="clear" w:color="auto" w:fill="F2F2F2" w:themeFill="background1" w:themeFillShade="F2"/>
            <w:vAlign w:val="center"/>
          </w:tcPr>
          <w:p w14:paraId="1082CE04" w14:textId="3FC97624" w:rsidR="00E66537" w:rsidRPr="0042650E" w:rsidRDefault="00E66537" w:rsidP="00A2793A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 partir de R$</w:t>
            </w:r>
            <w:r w:rsidRPr="0042650E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="00C56EDA" w:rsidRPr="0042650E">
              <w:rPr>
                <w:rFonts w:asciiTheme="majorHAnsi" w:hAnsiTheme="majorHAnsi" w:cstheme="majorHAnsi"/>
                <w:sz w:val="20"/>
                <w:szCs w:val="20"/>
              </w:rPr>
              <w:t>5.000,01</w:t>
            </w:r>
            <w:r w:rsidRPr="004265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até o limite das dispensas regulado pela Lei Federal nº 14.133/21</w:t>
            </w:r>
          </w:p>
        </w:tc>
        <w:tc>
          <w:tcPr>
            <w:tcW w:w="1343" w:type="pct"/>
            <w:shd w:val="clear" w:color="auto" w:fill="F2F2F2" w:themeFill="background1" w:themeFillShade="F2"/>
            <w:vAlign w:val="center"/>
          </w:tcPr>
          <w:p w14:paraId="05263537" w14:textId="77777777" w:rsidR="00E66537" w:rsidRPr="0042650E" w:rsidRDefault="00E66537" w:rsidP="00A2793A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Processo de Dispensa</w:t>
            </w:r>
          </w:p>
          <w:p w14:paraId="25D43694" w14:textId="77777777" w:rsidR="00E66537" w:rsidRPr="0042650E" w:rsidRDefault="00E66537" w:rsidP="00A2793A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Art. 75, inc. I e II</w:t>
            </w:r>
          </w:p>
        </w:tc>
        <w:tc>
          <w:tcPr>
            <w:tcW w:w="2400" w:type="pct"/>
            <w:shd w:val="clear" w:color="auto" w:fill="F2F2F2" w:themeFill="background1" w:themeFillShade="F2"/>
          </w:tcPr>
          <w:p w14:paraId="593E9D10" w14:textId="77777777" w:rsidR="00E66537" w:rsidRPr="0042650E" w:rsidRDefault="00E66537" w:rsidP="00A2793A">
            <w:pPr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2650E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Requisição, Termo de Referência, Pesquisa de Preços contemplando ao menos 3 (três) comprovações de valor praticado no mercado, habilitação jurídica, fiscal e trabalhista, nota de empenho e documento fiscal correspondente. </w:t>
            </w:r>
          </w:p>
        </w:tc>
      </w:tr>
    </w:tbl>
    <w:p w14:paraId="7A875DF0" w14:textId="77777777" w:rsidR="00C56EDA" w:rsidRPr="0042650E" w:rsidRDefault="00C56EDA" w:rsidP="00A2793A">
      <w:pPr>
        <w:pStyle w:val="Art"/>
        <w:rPr>
          <w:b/>
          <w:sz w:val="20"/>
          <w:szCs w:val="20"/>
        </w:rPr>
      </w:pPr>
    </w:p>
    <w:p w14:paraId="2291DB0A" w14:textId="465889B5" w:rsidR="00E66537" w:rsidRPr="0042650E" w:rsidRDefault="00E66537" w:rsidP="00A2793A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1</w:t>
      </w:r>
      <w:r w:rsidR="00C56EDA" w:rsidRPr="0042650E">
        <w:rPr>
          <w:b/>
          <w:sz w:val="20"/>
          <w:szCs w:val="20"/>
        </w:rPr>
        <w:t>5</w:t>
      </w:r>
      <w:r w:rsidRPr="0042650E">
        <w:rPr>
          <w:b/>
          <w:sz w:val="20"/>
          <w:szCs w:val="20"/>
        </w:rPr>
        <w:t>. </w:t>
      </w:r>
      <w:r w:rsidRPr="0042650E">
        <w:rPr>
          <w:sz w:val="20"/>
          <w:szCs w:val="20"/>
        </w:rPr>
        <w:t>Quando utilizada a hipótese do art. 75, § 7º, da NLLC, até o limite de R$</w:t>
      </w:r>
      <w:r w:rsidR="00A2793A" w:rsidRPr="0042650E">
        <w:rPr>
          <w:sz w:val="20"/>
          <w:szCs w:val="20"/>
        </w:rPr>
        <w:t> </w:t>
      </w:r>
      <w:r w:rsidRPr="0042650E">
        <w:rPr>
          <w:sz w:val="20"/>
          <w:szCs w:val="20"/>
        </w:rPr>
        <w:t xml:space="preserve">10.478,74 (dez mil, quatrocentos e setenta e oito reais e setenta e quatro centavos), para contratação de manutenção de veículos automotores, inclusive o fornecimento de peças, os respectivos valores não se sujeitam ao somatório para fins de aferição do limite no exercício financeiro previsto no art. 75, inciso I, afastando-se a regra do § 1º do mesmo artigo, quanto à acumulação de despesas da mesma natureza.  </w:t>
      </w:r>
    </w:p>
    <w:p w14:paraId="2AC94E2B" w14:textId="77777777" w:rsidR="00E66537" w:rsidRPr="0042650E" w:rsidRDefault="00E66537" w:rsidP="00A2793A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CAPÍTULO IV</w:t>
      </w:r>
    </w:p>
    <w:p w14:paraId="07C892C7" w14:textId="77777777" w:rsidR="00E66537" w:rsidRPr="0042650E" w:rsidRDefault="00E66537" w:rsidP="00A2793A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DA PESQUISA DE PREÇOS</w:t>
      </w:r>
    </w:p>
    <w:p w14:paraId="34B396E3" w14:textId="36DD43AD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1</w:t>
      </w:r>
      <w:r w:rsidR="00C56EDA" w:rsidRPr="0042650E">
        <w:rPr>
          <w:b/>
          <w:sz w:val="20"/>
          <w:szCs w:val="20"/>
        </w:rPr>
        <w:t>6</w:t>
      </w:r>
      <w:r w:rsidRPr="0042650E">
        <w:rPr>
          <w:b/>
          <w:sz w:val="20"/>
          <w:szCs w:val="20"/>
        </w:rPr>
        <w:t>.</w:t>
      </w:r>
      <w:r w:rsidRPr="0042650E">
        <w:rPr>
          <w:sz w:val="20"/>
          <w:szCs w:val="20"/>
        </w:rPr>
        <w:t> A pesquisa de preços para fins de estimativa do valor da contratação será realizada com fundamento no art</w:t>
      </w:r>
      <w:r w:rsidR="00A2793A" w:rsidRPr="0042650E">
        <w:rPr>
          <w:sz w:val="20"/>
          <w:szCs w:val="20"/>
        </w:rPr>
        <w:t>igo</w:t>
      </w:r>
      <w:r w:rsidRPr="0042650E">
        <w:rPr>
          <w:sz w:val="20"/>
          <w:szCs w:val="20"/>
        </w:rPr>
        <w:t xml:space="preserve"> 23 da Lei Federal nº 14.133/2021, observadas as normas e procedimentos internos vigentes n</w:t>
      </w:r>
      <w:r w:rsidR="00A2793A" w:rsidRPr="0042650E">
        <w:rPr>
          <w:sz w:val="20"/>
          <w:szCs w:val="20"/>
        </w:rPr>
        <w:t>a Câmara Municipal</w:t>
      </w:r>
      <w:r w:rsidRPr="0042650E">
        <w:rPr>
          <w:sz w:val="20"/>
          <w:szCs w:val="20"/>
        </w:rPr>
        <w:t xml:space="preserve"> aplicáveis à formação do preço estimado.</w:t>
      </w:r>
    </w:p>
    <w:p w14:paraId="68B05DF3" w14:textId="249B1D12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1</w:t>
      </w:r>
      <w:r w:rsidR="00C56EDA" w:rsidRPr="0042650E">
        <w:rPr>
          <w:b/>
          <w:sz w:val="20"/>
          <w:szCs w:val="20"/>
        </w:rPr>
        <w:t>7</w:t>
      </w:r>
      <w:r w:rsidRPr="0042650E">
        <w:rPr>
          <w:b/>
          <w:sz w:val="20"/>
          <w:szCs w:val="20"/>
        </w:rPr>
        <w:t>.</w:t>
      </w:r>
      <w:r w:rsidRPr="0042650E">
        <w:rPr>
          <w:sz w:val="20"/>
          <w:szCs w:val="20"/>
        </w:rPr>
        <w:t xml:space="preserve"> Na hipótese de dispensa da pesquisa de preços em razão do pequeno valor, o requisitante tem a responsabilidade de verificar se a compra ou contratação pretendida está de acordo com o preço praticado no mercado, sob pena de responsabilização e ressarcimento ao erário em caso de configuração de sobrepreço. </w:t>
      </w:r>
    </w:p>
    <w:p w14:paraId="51112B29" w14:textId="77777777" w:rsidR="00E66537" w:rsidRPr="0042650E" w:rsidRDefault="00E66537" w:rsidP="00A2793A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CAPÍTULO V</w:t>
      </w:r>
    </w:p>
    <w:p w14:paraId="1AB1B5B7" w14:textId="77777777" w:rsidR="00E66537" w:rsidRPr="0042650E" w:rsidRDefault="00E66537" w:rsidP="00A2793A">
      <w:pPr>
        <w:pStyle w:val="Ttulo"/>
        <w:rPr>
          <w:color w:val="000000"/>
          <w:sz w:val="20"/>
          <w:szCs w:val="20"/>
        </w:rPr>
      </w:pPr>
      <w:r w:rsidRPr="0042650E">
        <w:rPr>
          <w:sz w:val="20"/>
          <w:szCs w:val="20"/>
        </w:rPr>
        <w:t>Da Definição da Modalidade ou Compra/contratação Direta</w:t>
      </w:r>
    </w:p>
    <w:p w14:paraId="2E94DD96" w14:textId="67BE3F10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1</w:t>
      </w:r>
      <w:r w:rsidR="00C56EDA" w:rsidRPr="0042650E">
        <w:rPr>
          <w:b/>
          <w:sz w:val="20"/>
          <w:szCs w:val="20"/>
        </w:rPr>
        <w:t>8</w:t>
      </w:r>
      <w:r w:rsidRPr="0042650E">
        <w:rPr>
          <w:b/>
          <w:sz w:val="20"/>
          <w:szCs w:val="20"/>
        </w:rPr>
        <w:t>.</w:t>
      </w:r>
      <w:r w:rsidRPr="0042650E">
        <w:rPr>
          <w:sz w:val="20"/>
          <w:szCs w:val="20"/>
        </w:rPr>
        <w:t> Fica regulada a competência d</w:t>
      </w:r>
      <w:r w:rsidR="00C56EDA" w:rsidRPr="0042650E">
        <w:rPr>
          <w:sz w:val="20"/>
          <w:szCs w:val="20"/>
        </w:rPr>
        <w:t>a Assessoria Jurídica</w:t>
      </w:r>
      <w:r w:rsidRPr="0042650E">
        <w:rPr>
          <w:sz w:val="20"/>
          <w:szCs w:val="20"/>
        </w:rPr>
        <w:t xml:space="preserve"> para definir a modalidade de licitação a ser aplicada.</w:t>
      </w:r>
    </w:p>
    <w:p w14:paraId="20058E7F" w14:textId="77777777" w:rsidR="00E66537" w:rsidRPr="0042650E" w:rsidRDefault="00E66537" w:rsidP="00E66537">
      <w:pPr>
        <w:pStyle w:val="Estilo1"/>
        <w:rPr>
          <w:sz w:val="20"/>
          <w:szCs w:val="20"/>
        </w:rPr>
      </w:pPr>
      <w:r w:rsidRPr="0042650E">
        <w:rPr>
          <w:b/>
          <w:sz w:val="20"/>
          <w:szCs w:val="20"/>
        </w:rPr>
        <w:t>Parágrafo único.</w:t>
      </w:r>
      <w:r w:rsidRPr="0042650E">
        <w:rPr>
          <w:sz w:val="20"/>
          <w:szCs w:val="20"/>
        </w:rPr>
        <w:t xml:space="preserve"> Poderão ser utilizados os procedimentos auxiliares de credenciamento, pré-qualificação, manifestação de interesse, sistema de registro de preços e registro cadastral.</w:t>
      </w:r>
    </w:p>
    <w:p w14:paraId="10387129" w14:textId="68047961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</w:t>
      </w:r>
      <w:r w:rsidR="00C56EDA" w:rsidRPr="0042650E">
        <w:rPr>
          <w:b/>
          <w:sz w:val="20"/>
          <w:szCs w:val="20"/>
        </w:rPr>
        <w:t>19</w:t>
      </w:r>
      <w:r w:rsidRPr="0042650E">
        <w:rPr>
          <w:b/>
          <w:sz w:val="20"/>
          <w:szCs w:val="20"/>
        </w:rPr>
        <w:t>.</w:t>
      </w:r>
      <w:r w:rsidRPr="0042650E">
        <w:rPr>
          <w:sz w:val="20"/>
          <w:szCs w:val="20"/>
        </w:rPr>
        <w:t xml:space="preserve"> Na definição de modalidades licitatórias, procedimentos auxiliares e classificação de dispensas e inexigibilidades, o </w:t>
      </w:r>
      <w:r w:rsidR="00C56EDA" w:rsidRPr="0042650E">
        <w:rPr>
          <w:sz w:val="20"/>
          <w:szCs w:val="20"/>
        </w:rPr>
        <w:t>Agente de Contratação/Pregoeiro</w:t>
      </w:r>
      <w:r w:rsidR="00F46F0F" w:rsidRPr="0042650E">
        <w:rPr>
          <w:sz w:val="20"/>
          <w:szCs w:val="20"/>
        </w:rPr>
        <w:t xml:space="preserve"> </w:t>
      </w:r>
      <w:r w:rsidRPr="0042650E">
        <w:rPr>
          <w:sz w:val="20"/>
          <w:szCs w:val="20"/>
        </w:rPr>
        <w:t>conta</w:t>
      </w:r>
      <w:r w:rsidR="00C56EDA" w:rsidRPr="0042650E">
        <w:rPr>
          <w:sz w:val="20"/>
          <w:szCs w:val="20"/>
        </w:rPr>
        <w:t>rão</w:t>
      </w:r>
      <w:r w:rsidRPr="0042650E">
        <w:rPr>
          <w:sz w:val="20"/>
          <w:szCs w:val="20"/>
        </w:rPr>
        <w:t xml:space="preserve"> com o apoio permanente da Assessoria Jurídica.</w:t>
      </w:r>
    </w:p>
    <w:p w14:paraId="6059EF42" w14:textId="77777777" w:rsidR="00E66537" w:rsidRPr="0042650E" w:rsidRDefault="00E66537" w:rsidP="00F46F0F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CAPÍTULO VI</w:t>
      </w:r>
    </w:p>
    <w:p w14:paraId="753CAE1C" w14:textId="77777777" w:rsidR="00E66537" w:rsidRPr="0042650E" w:rsidRDefault="00E66537" w:rsidP="00F46F0F">
      <w:pPr>
        <w:pStyle w:val="Ttulo"/>
        <w:rPr>
          <w:sz w:val="20"/>
          <w:szCs w:val="20"/>
        </w:rPr>
      </w:pPr>
      <w:r w:rsidRPr="0042650E">
        <w:rPr>
          <w:sz w:val="20"/>
          <w:szCs w:val="20"/>
        </w:rPr>
        <w:t>Disposições Gerais e Finais</w:t>
      </w:r>
    </w:p>
    <w:p w14:paraId="33F06108" w14:textId="480500FA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2</w:t>
      </w:r>
      <w:r w:rsidR="00C56EDA" w:rsidRPr="0042650E">
        <w:rPr>
          <w:b/>
          <w:sz w:val="20"/>
          <w:szCs w:val="20"/>
        </w:rPr>
        <w:t>0</w:t>
      </w:r>
      <w:r w:rsidRPr="0042650E">
        <w:rPr>
          <w:b/>
          <w:sz w:val="20"/>
          <w:szCs w:val="20"/>
        </w:rPr>
        <w:t>.</w:t>
      </w:r>
      <w:r w:rsidRPr="0042650E">
        <w:rPr>
          <w:sz w:val="20"/>
          <w:szCs w:val="20"/>
        </w:rPr>
        <w:t> Por força do Parágrafo único do artigo 168 da NLLC, a autoridade competente poderá invocar a qualquer tempo, Assessoramento Jurídico, Técnico ou da Unidade Central de Controle Interno, para auxílio na tomada de decisões.</w:t>
      </w:r>
    </w:p>
    <w:p w14:paraId="27C7494C" w14:textId="5F0748B8" w:rsidR="00E66537" w:rsidRPr="0042650E" w:rsidRDefault="00E66537" w:rsidP="00E66537">
      <w:pPr>
        <w:pStyle w:val="Art"/>
        <w:rPr>
          <w:sz w:val="20"/>
          <w:szCs w:val="20"/>
        </w:rPr>
      </w:pPr>
      <w:r w:rsidRPr="0042650E">
        <w:rPr>
          <w:b/>
          <w:sz w:val="20"/>
          <w:szCs w:val="20"/>
        </w:rPr>
        <w:t>Art. 2</w:t>
      </w:r>
      <w:r w:rsidR="00C56EDA" w:rsidRPr="0042650E">
        <w:rPr>
          <w:b/>
          <w:sz w:val="20"/>
          <w:szCs w:val="20"/>
        </w:rPr>
        <w:t>1</w:t>
      </w:r>
      <w:r w:rsidRPr="0042650E">
        <w:rPr>
          <w:b/>
          <w:sz w:val="20"/>
          <w:szCs w:val="20"/>
        </w:rPr>
        <w:t>.</w:t>
      </w:r>
      <w:r w:rsidRPr="0042650E">
        <w:rPr>
          <w:sz w:val="20"/>
          <w:szCs w:val="20"/>
        </w:rPr>
        <w:t xml:space="preserve"> Considerando o artigo 182 da NLLC, que regulamenta a atualização anual pelo índice IPCA-E de todos os valores fixados pela referida Lei, poderá </w:t>
      </w:r>
      <w:r w:rsidR="00F46F0F" w:rsidRPr="0042650E">
        <w:rPr>
          <w:sz w:val="20"/>
          <w:szCs w:val="20"/>
        </w:rPr>
        <w:t>a Câmara Municipal</w:t>
      </w:r>
      <w:r w:rsidRPr="0042650E">
        <w:rPr>
          <w:sz w:val="20"/>
          <w:szCs w:val="20"/>
        </w:rPr>
        <w:t xml:space="preserve"> emitir nov</w:t>
      </w:r>
      <w:r w:rsidR="00F46F0F" w:rsidRPr="0042650E">
        <w:rPr>
          <w:sz w:val="20"/>
          <w:szCs w:val="20"/>
        </w:rPr>
        <w:t>a Resolução</w:t>
      </w:r>
      <w:r w:rsidRPr="0042650E">
        <w:rPr>
          <w:sz w:val="20"/>
          <w:szCs w:val="20"/>
        </w:rPr>
        <w:t xml:space="preserve"> com a descrição da atualização dos valores. </w:t>
      </w:r>
    </w:p>
    <w:p w14:paraId="3E3C13CC" w14:textId="2E0E4BA0" w:rsidR="00F72000" w:rsidRPr="0042650E" w:rsidRDefault="00F72000" w:rsidP="005143DB">
      <w:pPr>
        <w:pStyle w:val="Art"/>
        <w:rPr>
          <w:sz w:val="20"/>
          <w:szCs w:val="20"/>
        </w:rPr>
      </w:pPr>
      <w:r w:rsidRPr="0042650E">
        <w:rPr>
          <w:b/>
          <w:bCs/>
          <w:sz w:val="20"/>
          <w:szCs w:val="20"/>
        </w:rPr>
        <w:t>Art.</w:t>
      </w:r>
      <w:r w:rsidR="005143DB" w:rsidRPr="0042650E">
        <w:rPr>
          <w:b/>
          <w:bCs/>
          <w:sz w:val="20"/>
          <w:szCs w:val="20"/>
        </w:rPr>
        <w:t> </w:t>
      </w:r>
      <w:r w:rsidR="00F46F0F" w:rsidRPr="0042650E">
        <w:rPr>
          <w:b/>
          <w:bCs/>
          <w:sz w:val="20"/>
          <w:szCs w:val="20"/>
        </w:rPr>
        <w:t>2</w:t>
      </w:r>
      <w:r w:rsidR="00C56EDA" w:rsidRPr="0042650E">
        <w:rPr>
          <w:b/>
          <w:bCs/>
          <w:sz w:val="20"/>
          <w:szCs w:val="20"/>
        </w:rPr>
        <w:t>2</w:t>
      </w:r>
      <w:r w:rsidR="005143DB" w:rsidRPr="0042650E">
        <w:rPr>
          <w:sz w:val="20"/>
          <w:szCs w:val="20"/>
        </w:rPr>
        <w:t> E</w:t>
      </w:r>
      <w:r w:rsidRPr="0042650E">
        <w:rPr>
          <w:sz w:val="20"/>
          <w:szCs w:val="20"/>
        </w:rPr>
        <w:t>sta Resolução de Mesa entra em vigor na data de sua publicação.</w:t>
      </w:r>
    </w:p>
    <w:p w14:paraId="21D05ABE" w14:textId="77777777" w:rsidR="00F72000" w:rsidRPr="0042650E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135F880" w14:textId="65564B1E" w:rsidR="00F72000" w:rsidRPr="0042650E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  <w:r w:rsidRPr="0042650E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Anta Gorda, RS,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1731659908"/>
          <w:placeholder>
            <w:docPart w:val="D6FBF16FF90142D9933711D3DA4F5116"/>
          </w:placeholder>
        </w:sdtPr>
        <w:sdtEndPr/>
        <w:sdtContent>
          <w:r w:rsidR="00090C59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>06</w:t>
          </w:r>
        </w:sdtContent>
      </w:sdt>
      <w:r w:rsidR="007E3890" w:rsidRPr="0042650E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42650E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de </w:t>
      </w:r>
      <w:sdt>
        <w:sdtPr>
          <w:rPr>
            <w:rFonts w:asciiTheme="majorHAnsi" w:eastAsia="Times New Roman" w:hAnsiTheme="majorHAnsi" w:cstheme="majorHAnsi"/>
            <w:sz w:val="20"/>
            <w:szCs w:val="20"/>
            <w:lang w:eastAsia="pt-BR"/>
          </w:rPr>
          <w:id w:val="-1156145877"/>
          <w:placeholder>
            <w:docPart w:val="7747F12470F84B5F8E017A3E3DDAAB45"/>
          </w:placeholder>
        </w:sdtPr>
        <w:sdtEndPr/>
        <w:sdtContent>
          <w:r w:rsidR="00090C59">
            <w:rPr>
              <w:rFonts w:asciiTheme="majorHAnsi" w:eastAsia="Times New Roman" w:hAnsiTheme="majorHAnsi" w:cstheme="majorHAnsi"/>
              <w:sz w:val="20"/>
              <w:szCs w:val="20"/>
              <w:lang w:eastAsia="pt-BR"/>
            </w:rPr>
            <w:t>abril</w:t>
          </w:r>
          <w:bookmarkStart w:id="0" w:name="_GoBack"/>
          <w:bookmarkEnd w:id="0"/>
        </w:sdtContent>
      </w:sdt>
      <w:r w:rsidR="007E3890" w:rsidRPr="0042650E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</w:t>
      </w:r>
      <w:r w:rsidRPr="0042650E">
        <w:rPr>
          <w:rFonts w:asciiTheme="majorHAnsi" w:eastAsia="Times New Roman" w:hAnsiTheme="majorHAnsi" w:cstheme="majorHAnsi"/>
          <w:sz w:val="20"/>
          <w:szCs w:val="20"/>
          <w:lang w:eastAsia="pt-BR"/>
        </w:rPr>
        <w:t>de 2026.</w:t>
      </w:r>
    </w:p>
    <w:p w14:paraId="1E8B194C" w14:textId="77777777" w:rsidR="00F72000" w:rsidRPr="0042650E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t-BR"/>
        </w:rPr>
      </w:pPr>
    </w:p>
    <w:p w14:paraId="5956476F" w14:textId="77777777" w:rsidR="00F72000" w:rsidRPr="0042650E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DFF4A75" w14:textId="77777777" w:rsidR="00F72000" w:rsidRPr="0042650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42650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FERNANDO LOCATELLI</w:t>
      </w:r>
      <w:r w:rsidRPr="0042650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Presidente</w:t>
      </w:r>
    </w:p>
    <w:p w14:paraId="25D8623E" w14:textId="77777777" w:rsidR="00F72000" w:rsidRPr="0042650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793DA209" w14:textId="77777777" w:rsidR="00F72000" w:rsidRPr="0042650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4C7E3857" w14:textId="77777777" w:rsidR="00F72000" w:rsidRPr="0042650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42650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CIRIO FRANCISCO DE FREITAS</w:t>
      </w:r>
      <w:r w:rsidRPr="0042650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Vice-Presidente</w:t>
      </w:r>
    </w:p>
    <w:p w14:paraId="2144523A" w14:textId="77777777" w:rsidR="00F72000" w:rsidRPr="0042650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5132EC5" w14:textId="77777777" w:rsidR="00F72000" w:rsidRPr="0042650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5BF62224" w14:textId="77777777" w:rsidR="00F72000" w:rsidRPr="0042650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42650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PAULO CESAR BETTONI</w:t>
      </w:r>
      <w:r w:rsidRPr="0042650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1º Secretário</w:t>
      </w:r>
    </w:p>
    <w:p w14:paraId="0C88B279" w14:textId="77777777" w:rsidR="00F72000" w:rsidRPr="0042650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733374F1" w14:textId="77777777" w:rsidR="00F72000" w:rsidRPr="0042650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</w:p>
    <w:p w14:paraId="181A291B" w14:textId="77777777" w:rsidR="00F72000" w:rsidRPr="0042650E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</w:pPr>
      <w:r w:rsidRPr="0042650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t>CLEONIR GUARNIERI</w:t>
      </w:r>
      <w:r w:rsidRPr="0042650E">
        <w:rPr>
          <w:rFonts w:asciiTheme="majorHAnsi" w:eastAsia="Times New Roman" w:hAnsiTheme="majorHAnsi" w:cstheme="majorHAnsi"/>
          <w:b/>
          <w:sz w:val="20"/>
          <w:szCs w:val="20"/>
          <w:lang w:eastAsia="pt-BR"/>
        </w:rPr>
        <w:br/>
        <w:t>2º Secretário</w:t>
      </w:r>
    </w:p>
    <w:p w14:paraId="3EA7A57C" w14:textId="77777777" w:rsidR="00D54D13" w:rsidRPr="0042650E" w:rsidRDefault="00D54D13" w:rsidP="00F72000">
      <w:pPr>
        <w:spacing w:after="0" w:line="360" w:lineRule="auto"/>
        <w:jc w:val="center"/>
        <w:rPr>
          <w:rFonts w:asciiTheme="majorHAnsi" w:hAnsiTheme="majorHAnsi" w:cstheme="majorHAnsi"/>
          <w:sz w:val="20"/>
          <w:szCs w:val="20"/>
        </w:rPr>
      </w:pPr>
    </w:p>
    <w:sectPr w:rsidR="00D54D13" w:rsidRPr="0042650E" w:rsidSect="00F7200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0"/>
    <w:rsid w:val="0002409A"/>
    <w:rsid w:val="00090C59"/>
    <w:rsid w:val="00291DD4"/>
    <w:rsid w:val="0042650E"/>
    <w:rsid w:val="005143DB"/>
    <w:rsid w:val="0056311F"/>
    <w:rsid w:val="00575D5F"/>
    <w:rsid w:val="00591AA0"/>
    <w:rsid w:val="007E3890"/>
    <w:rsid w:val="00921546"/>
    <w:rsid w:val="009D231F"/>
    <w:rsid w:val="00A11B58"/>
    <w:rsid w:val="00A2793A"/>
    <w:rsid w:val="00C56EDA"/>
    <w:rsid w:val="00C65295"/>
    <w:rsid w:val="00C67A52"/>
    <w:rsid w:val="00D54D13"/>
    <w:rsid w:val="00DC3659"/>
    <w:rsid w:val="00E66537"/>
    <w:rsid w:val="00F46F0F"/>
    <w:rsid w:val="00F6105A"/>
    <w:rsid w:val="00F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C46"/>
  <w15:chartTrackingRefBased/>
  <w15:docId w15:val="{310BFF43-15FB-4C5A-9737-1EC8EEC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Normal"/>
    <w:link w:val="Ttulo1Char"/>
    <w:uiPriority w:val="9"/>
    <w:qFormat/>
    <w:rsid w:val="009D231F"/>
    <w:pPr>
      <w:spacing w:before="0"/>
      <w:ind w:firstLine="0"/>
      <w:jc w:val="center"/>
      <w:outlineLvl w:val="0"/>
    </w:pPr>
  </w:style>
  <w:style w:type="paragraph" w:styleId="Ttulo2">
    <w:name w:val="heading 2"/>
    <w:basedOn w:val="Normal"/>
    <w:link w:val="Ttulo2Char"/>
    <w:uiPriority w:val="9"/>
    <w:qFormat/>
    <w:rsid w:val="00F7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0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0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00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E3890"/>
    <w:rPr>
      <w:color w:val="666666"/>
    </w:rPr>
  </w:style>
  <w:style w:type="paragraph" w:styleId="PargrafodaLista">
    <w:name w:val="List Paragraph"/>
    <w:basedOn w:val="Normal"/>
    <w:uiPriority w:val="34"/>
    <w:qFormat/>
    <w:rsid w:val="009D231F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bCs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E66537"/>
    <w:pPr>
      <w:spacing w:before="200" w:after="0" w:line="360" w:lineRule="auto"/>
      <w:ind w:firstLine="1276"/>
      <w:contextualSpacing/>
      <w:jc w:val="both"/>
    </w:pPr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E66537"/>
    <w:rPr>
      <w:rFonts w:asciiTheme="majorHAnsi" w:eastAsia="Times New Roman" w:hAnsiTheme="majorHAnsi" w:cstheme="majorHAnsi"/>
      <w:b/>
      <w:caps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231F"/>
    <w:rPr>
      <w:rFonts w:asciiTheme="majorHAnsi" w:eastAsia="Times New Roman" w:hAnsiTheme="majorHAnsi" w:cstheme="majorHAnsi"/>
      <w:b/>
      <w:lang w:eastAsia="pt-BR"/>
    </w:rPr>
  </w:style>
  <w:style w:type="paragraph" w:styleId="Subttulo">
    <w:name w:val="Subtitle"/>
    <w:basedOn w:val="Ttulo"/>
    <w:next w:val="Normal"/>
    <w:link w:val="SubttuloChar"/>
    <w:uiPriority w:val="11"/>
    <w:qFormat/>
    <w:rsid w:val="009D231F"/>
    <w:pPr>
      <w:spacing w:before="0"/>
      <w:ind w:firstLine="0"/>
      <w:jc w:val="center"/>
    </w:pPr>
  </w:style>
  <w:style w:type="character" w:customStyle="1" w:styleId="SubttuloChar">
    <w:name w:val="Subtítulo Char"/>
    <w:basedOn w:val="Fontepargpadro"/>
    <w:link w:val="Subttulo"/>
    <w:uiPriority w:val="11"/>
    <w:rsid w:val="009D231F"/>
    <w:rPr>
      <w:rFonts w:asciiTheme="majorHAnsi" w:eastAsia="Times New Roman" w:hAnsiTheme="majorHAnsi" w:cstheme="majorHAnsi"/>
      <w:b/>
      <w:lang w:eastAsia="pt-BR"/>
    </w:rPr>
  </w:style>
  <w:style w:type="paragraph" w:customStyle="1" w:styleId="Art">
    <w:name w:val="Art."/>
    <w:basedOn w:val="Normal"/>
    <w:qFormat/>
    <w:rsid w:val="005143DB"/>
    <w:pPr>
      <w:spacing w:after="0" w:line="360" w:lineRule="auto"/>
      <w:ind w:firstLine="1276"/>
      <w:jc w:val="both"/>
    </w:pPr>
    <w:rPr>
      <w:rFonts w:asciiTheme="majorHAnsi" w:eastAsia="Times New Roman" w:hAnsiTheme="majorHAnsi" w:cstheme="majorHAnsi"/>
      <w:lang w:eastAsia="pt-BR"/>
    </w:rPr>
  </w:style>
  <w:style w:type="paragraph" w:customStyle="1" w:styleId="Estilo1">
    <w:name w:val="Estilo1"/>
    <w:basedOn w:val="Art"/>
    <w:qFormat/>
    <w:rsid w:val="0002409A"/>
  </w:style>
  <w:style w:type="paragraph" w:customStyle="1" w:styleId="Estilo2">
    <w:name w:val="Estilo2"/>
    <w:basedOn w:val="Art"/>
    <w:qFormat/>
    <w:rsid w:val="0002409A"/>
  </w:style>
  <w:style w:type="table" w:styleId="TabeladeGradeClara">
    <w:name w:val="Grid Table Light"/>
    <w:basedOn w:val="Tabelanormal"/>
    <w:uiPriority w:val="40"/>
    <w:rsid w:val="00E66537"/>
    <w:pPr>
      <w:spacing w:after="0" w:line="240" w:lineRule="auto"/>
    </w:pPr>
    <w:rPr>
      <w:rFonts w:ascii="Arial" w:eastAsia="Arial" w:hAnsi="Arial" w:cs="Arial"/>
      <w:lang w:eastAsia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mples1">
    <w:name w:val="Plain Table 1"/>
    <w:basedOn w:val="Tabelanormal"/>
    <w:uiPriority w:val="41"/>
    <w:rsid w:val="00E66537"/>
    <w:pPr>
      <w:spacing w:after="0" w:line="240" w:lineRule="auto"/>
    </w:pPr>
    <w:rPr>
      <w:rFonts w:ascii="Arial" w:eastAsia="Arial" w:hAnsi="Arial" w:cs="Arial"/>
      <w:lang w:eastAsia="pt-B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BF16FF90142D9933711D3DA4F5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382B6-E48C-4724-B059-C5F30F259D36}"/>
      </w:docPartPr>
      <w:docPartBody>
        <w:p w:rsidR="00894CD3" w:rsidRDefault="00495E03" w:rsidP="00495E03">
          <w:pPr>
            <w:pStyle w:val="D6FBF16FF90142D9933711D3DA4F511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7747F12470F84B5F8E017A3E3DDAA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4D2E3-C725-4D66-9AF6-1F53EE299628}"/>
      </w:docPartPr>
      <w:docPartBody>
        <w:p w:rsidR="00894CD3" w:rsidRDefault="00495E03" w:rsidP="00495E03">
          <w:pPr>
            <w:pStyle w:val="7747F12470F84B5F8E017A3E3DDAAB45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5AD4F4178D454899A9227478369A8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D03C6-7248-48C0-A8E7-88A5A59389A3}"/>
      </w:docPartPr>
      <w:docPartBody>
        <w:p w:rsidR="002E1891" w:rsidRDefault="00894CD3" w:rsidP="00894CD3">
          <w:pPr>
            <w:pStyle w:val="5AD4F4178D454899A9227478369A8166"/>
          </w:pPr>
          <w:r>
            <w:rPr>
              <w:rStyle w:val="TextodoEspaoReservado"/>
              <w:color w:val="FF0000"/>
            </w:rPr>
            <w:t>[…]</w:t>
          </w:r>
        </w:p>
      </w:docPartBody>
    </w:docPart>
    <w:docPart>
      <w:docPartPr>
        <w:name w:val="9F70A31503324020B606C083923011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C00652-830B-49DE-9330-9789075AA4C8}"/>
      </w:docPartPr>
      <w:docPartBody>
        <w:p w:rsidR="002E1891" w:rsidRDefault="00894CD3" w:rsidP="00894CD3">
          <w:pPr>
            <w:pStyle w:val="9F70A31503324020B606C083923011F4"/>
          </w:pPr>
          <w:r>
            <w:rPr>
              <w:rStyle w:val="TextodoEspaoReservado"/>
              <w:color w:val="FF0000"/>
            </w:rPr>
            <w:t>[…]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03"/>
    <w:rsid w:val="00177562"/>
    <w:rsid w:val="002E1891"/>
    <w:rsid w:val="00340453"/>
    <w:rsid w:val="00495E03"/>
    <w:rsid w:val="0056311F"/>
    <w:rsid w:val="00575D5F"/>
    <w:rsid w:val="00894CD3"/>
    <w:rsid w:val="008B59A0"/>
    <w:rsid w:val="00A11B58"/>
    <w:rsid w:val="00CC7748"/>
    <w:rsid w:val="00F6105A"/>
    <w:rsid w:val="00F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4CD3"/>
    <w:rPr>
      <w:color w:val="666666"/>
    </w:rPr>
  </w:style>
  <w:style w:type="paragraph" w:customStyle="1" w:styleId="D6FBF16FF90142D9933711D3DA4F5116">
    <w:name w:val="D6FBF16FF90142D9933711D3DA4F5116"/>
    <w:rsid w:val="00495E0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47F12470F84B5F8E017A3E3DDAAB45">
    <w:name w:val="7747F12470F84B5F8E017A3E3DDAAB45"/>
    <w:rsid w:val="00495E03"/>
  </w:style>
  <w:style w:type="paragraph" w:customStyle="1" w:styleId="5AD4F4178D454899A9227478369A8166">
    <w:name w:val="5AD4F4178D454899A9227478369A8166"/>
    <w:rsid w:val="00894CD3"/>
  </w:style>
  <w:style w:type="paragraph" w:customStyle="1" w:styleId="9F70A31503324020B606C083923011F4">
    <w:name w:val="9F70A31503324020B606C083923011F4"/>
    <w:rsid w:val="00894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1807</Words>
  <Characters>9762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2026-04-10T00:08:00Z</cp:lastPrinted>
  <dcterms:created xsi:type="dcterms:W3CDTF">2026-03-23T18:30:00Z</dcterms:created>
  <dcterms:modified xsi:type="dcterms:W3CDTF">2026-04-10T00:08:00Z</dcterms:modified>
</cp:coreProperties>
</file>