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4AF1AB5E" w:rsidR="00F72000" w:rsidRPr="000E4D1C" w:rsidRDefault="00F72000" w:rsidP="0002409A">
      <w:pPr>
        <w:pStyle w:val="Subttulo"/>
        <w:spacing w:after="400"/>
        <w:rPr>
          <w:szCs w:val="20"/>
        </w:rPr>
      </w:pPr>
      <w:r w:rsidRPr="000E4D1C">
        <w:rPr>
          <w:szCs w:val="20"/>
        </w:rPr>
        <w:t xml:space="preserve">RESOLUÇÃO DE MESA Nº </w:t>
      </w:r>
      <w:sdt>
        <w:sdtPr>
          <w:rPr>
            <w:szCs w:val="20"/>
          </w:rPr>
          <w:id w:val="-1206636280"/>
          <w:placeholder>
            <w:docPart w:val="5AD4F4178D454899A9227478369A8166"/>
          </w:placeholder>
        </w:sdtPr>
        <w:sdtEndPr/>
        <w:sdtContent>
          <w:r w:rsidR="000E4D1C" w:rsidRPr="000E4D1C">
            <w:rPr>
              <w:szCs w:val="20"/>
            </w:rPr>
            <w:t>0</w:t>
          </w:r>
          <w:r w:rsidR="00987224">
            <w:rPr>
              <w:szCs w:val="20"/>
            </w:rPr>
            <w:t>10</w:t>
          </w:r>
        </w:sdtContent>
      </w:sdt>
      <w:r w:rsidRPr="000E4D1C">
        <w:rPr>
          <w:szCs w:val="20"/>
        </w:rPr>
        <w:t>/</w:t>
      </w:r>
      <w:sdt>
        <w:sdtPr>
          <w:rPr>
            <w:szCs w:val="20"/>
          </w:rPr>
          <w:id w:val="58759453"/>
          <w:placeholder>
            <w:docPart w:val="9F70A31503324020B606C083923011F4"/>
          </w:placeholder>
        </w:sdtPr>
        <w:sdtEndPr/>
        <w:sdtContent>
          <w:r w:rsidR="000E4D1C">
            <w:rPr>
              <w:szCs w:val="20"/>
            </w:rPr>
            <w:t>2026</w:t>
          </w:r>
        </w:sdtContent>
      </w:sdt>
    </w:p>
    <w:p w14:paraId="6DCE37DE" w14:textId="38568981" w:rsidR="00F72000" w:rsidRPr="000E4D1C" w:rsidRDefault="00641993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 xml:space="preserve">Regulamenta o Sistema de Registro de Preços no âmbito do Poder Legislativo do Município de Anta </w:t>
      </w:r>
      <w:proofErr w:type="spellStart"/>
      <w:r w:rsidRPr="000E4D1C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Gorda-RS</w:t>
      </w:r>
      <w:proofErr w:type="spellEnd"/>
      <w:r w:rsidRPr="000E4D1C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, nos termos da Lei Federal nº 14.133/2021</w:t>
      </w:r>
      <w:r w:rsidR="00C65295" w:rsidRPr="000E4D1C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.</w:t>
      </w:r>
    </w:p>
    <w:p w14:paraId="1B42422D" w14:textId="77777777" w:rsidR="00F72000" w:rsidRPr="000E4D1C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7F17C02" w14:textId="77777777" w:rsidR="00F72000" w:rsidRPr="000E4D1C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A MESA DIRETORA DA CÂMARA MUNICIPAL DE VEREADORES DE ANTA GORDA</w:t>
      </w:r>
      <w:r w:rsidRPr="000E4D1C">
        <w:rPr>
          <w:rFonts w:asciiTheme="majorHAnsi" w:eastAsia="Times New Roman" w:hAnsiTheme="majorHAnsi" w:cstheme="majorHAnsi"/>
          <w:sz w:val="20"/>
          <w:szCs w:val="20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1ABE0A1B" w14:textId="77777777" w:rsidR="00F72000" w:rsidRPr="000E4D1C" w:rsidRDefault="00F72000" w:rsidP="0002409A">
      <w:pPr>
        <w:pStyle w:val="Ttulo"/>
        <w:rPr>
          <w:sz w:val="20"/>
          <w:szCs w:val="20"/>
        </w:rPr>
      </w:pPr>
      <w:r w:rsidRPr="000E4D1C">
        <w:rPr>
          <w:sz w:val="20"/>
          <w:szCs w:val="20"/>
        </w:rPr>
        <w:t>RESOLVE:</w:t>
      </w:r>
    </w:p>
    <w:p w14:paraId="517BD81C" w14:textId="3360E0B0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1º </w:t>
      </w:r>
      <w:r w:rsidRPr="000E4D1C">
        <w:rPr>
          <w:sz w:val="20"/>
          <w:szCs w:val="20"/>
        </w:rPr>
        <w:t xml:space="preserve">O registro de preços para serviços e compras da Câmara Municipal de Anta </w:t>
      </w:r>
      <w:proofErr w:type="spellStart"/>
      <w:r w:rsidRPr="000E4D1C">
        <w:rPr>
          <w:sz w:val="20"/>
          <w:szCs w:val="20"/>
        </w:rPr>
        <w:t>Gorda-RS</w:t>
      </w:r>
      <w:proofErr w:type="spellEnd"/>
      <w:r w:rsidRPr="000E4D1C">
        <w:rPr>
          <w:sz w:val="20"/>
          <w:szCs w:val="20"/>
        </w:rPr>
        <w:t xml:space="preserve"> obedecerá às normas fixadas nesta Resolução, além das disposições reguladas pela Lei Federal nº 14.133/2021.</w:t>
      </w:r>
    </w:p>
    <w:p w14:paraId="4CB2EAEC" w14:textId="06F86172" w:rsidR="00641993" w:rsidRPr="000E4D1C" w:rsidRDefault="00641993" w:rsidP="008539F6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2º</w:t>
      </w:r>
      <w:r w:rsidRPr="000E4D1C">
        <w:rPr>
          <w:sz w:val="20"/>
          <w:szCs w:val="20"/>
        </w:rPr>
        <w:t> O procedimento de registro de preços será utilizado, quando conveniente, para materiais e gêneros de consumo frequente, que tenham significativa expressão em relação ao consumo total ou que devam ser adquiridos por diversos setores, bem como para os serviços, observado o disposto nesta Resolução.</w:t>
      </w:r>
    </w:p>
    <w:p w14:paraId="06EB3648" w14:textId="7B5E6B0F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§ </w:t>
      </w:r>
      <w:r w:rsidR="008539F6" w:rsidRPr="000E4D1C">
        <w:rPr>
          <w:b/>
          <w:sz w:val="20"/>
          <w:szCs w:val="20"/>
        </w:rPr>
        <w:t>1</w:t>
      </w:r>
      <w:r w:rsidRPr="000E4D1C">
        <w:rPr>
          <w:b/>
          <w:sz w:val="20"/>
          <w:szCs w:val="20"/>
        </w:rPr>
        <w:t>° </w:t>
      </w:r>
      <w:r w:rsidRPr="000E4D1C">
        <w:rPr>
          <w:sz w:val="20"/>
          <w:szCs w:val="20"/>
        </w:rPr>
        <w:t xml:space="preserve">O registro de preços será precedido de ampla pesquisa de mercado, realizada em processo administrativo próprio, com observância do disposto no artigo 23 da Lei Federal nº 14.133/2021 e das normas e procedimentos internos vigentes na Câmara Municipal para a formação do preço estimado. </w:t>
      </w:r>
    </w:p>
    <w:p w14:paraId="088E13C5" w14:textId="18FA0C20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§ </w:t>
      </w:r>
      <w:r w:rsidR="008539F6" w:rsidRPr="000E4D1C">
        <w:rPr>
          <w:b/>
          <w:sz w:val="20"/>
          <w:szCs w:val="20"/>
        </w:rPr>
        <w:t>2</w:t>
      </w:r>
      <w:r w:rsidRPr="000E4D1C">
        <w:rPr>
          <w:b/>
          <w:sz w:val="20"/>
          <w:szCs w:val="20"/>
        </w:rPr>
        <w:t>° </w:t>
      </w:r>
      <w:r w:rsidRPr="000E4D1C">
        <w:rPr>
          <w:sz w:val="20"/>
          <w:szCs w:val="20"/>
        </w:rPr>
        <w:t>Do edital de licitação ou informações para dispensa ou inexigibilidade quando da utilização do registro de preços, deverão constar, além de outras possibilidades, as seguintes condições:</w:t>
      </w:r>
    </w:p>
    <w:p w14:paraId="4D99151A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 – </w:t>
      </w:r>
      <w:proofErr w:type="gramStart"/>
      <w:r w:rsidRPr="000E4D1C">
        <w:rPr>
          <w:sz w:val="20"/>
          <w:szCs w:val="20"/>
        </w:rPr>
        <w:t>especificidades</w:t>
      </w:r>
      <w:proofErr w:type="gramEnd"/>
      <w:r w:rsidRPr="000E4D1C">
        <w:rPr>
          <w:sz w:val="20"/>
          <w:szCs w:val="20"/>
        </w:rPr>
        <w:t xml:space="preserve"> da compra ou contratação e de seu objeto;</w:t>
      </w:r>
    </w:p>
    <w:p w14:paraId="04CB6A8E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 – </w:t>
      </w:r>
      <w:proofErr w:type="gramStart"/>
      <w:r w:rsidRPr="000E4D1C">
        <w:rPr>
          <w:sz w:val="20"/>
          <w:szCs w:val="20"/>
        </w:rPr>
        <w:t>quantidades</w:t>
      </w:r>
      <w:proofErr w:type="gramEnd"/>
      <w:r w:rsidRPr="000E4D1C">
        <w:rPr>
          <w:sz w:val="20"/>
          <w:szCs w:val="20"/>
        </w:rPr>
        <w:t xml:space="preserve"> máximas de cada item que poderá ser adquirido;</w:t>
      </w:r>
    </w:p>
    <w:p w14:paraId="0AC3707A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III – </w:t>
      </w:r>
      <w:r w:rsidRPr="000E4D1C">
        <w:rPr>
          <w:sz w:val="20"/>
          <w:szCs w:val="20"/>
        </w:rPr>
        <w:t>quantidades mínimas a ser cotada em unidades de bens, ou em unidades de medidas para serviços, conforme cada caso;</w:t>
      </w:r>
    </w:p>
    <w:p w14:paraId="06BEB637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IV – </w:t>
      </w:r>
      <w:proofErr w:type="gramStart"/>
      <w:r w:rsidRPr="000E4D1C">
        <w:rPr>
          <w:sz w:val="20"/>
          <w:szCs w:val="20"/>
        </w:rPr>
        <w:t>possibilidade</w:t>
      </w:r>
      <w:proofErr w:type="gramEnd"/>
      <w:r w:rsidRPr="000E4D1C">
        <w:rPr>
          <w:sz w:val="20"/>
          <w:szCs w:val="20"/>
        </w:rPr>
        <w:t xml:space="preserve"> de prever preços diferentes:</w:t>
      </w:r>
    </w:p>
    <w:p w14:paraId="5D6110CE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a)</w:t>
      </w:r>
      <w:r w:rsidRPr="000E4D1C">
        <w:rPr>
          <w:sz w:val="20"/>
          <w:szCs w:val="20"/>
        </w:rPr>
        <w:t xml:space="preserve"> quando o objeto for realizado ou entregue em locais diversos;</w:t>
      </w:r>
    </w:p>
    <w:p w14:paraId="6FCE8AD8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b)</w:t>
      </w:r>
      <w:r w:rsidRPr="000E4D1C">
        <w:rPr>
          <w:sz w:val="20"/>
          <w:szCs w:val="20"/>
        </w:rPr>
        <w:t xml:space="preserve"> em razão da forma e do local de acondicionamento;</w:t>
      </w:r>
    </w:p>
    <w:p w14:paraId="61B182C4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c)</w:t>
      </w:r>
      <w:r w:rsidRPr="000E4D1C">
        <w:rPr>
          <w:sz w:val="20"/>
          <w:szCs w:val="20"/>
        </w:rPr>
        <w:t xml:space="preserve"> quando admitida cotação variável em razão do tamanho do lote;</w:t>
      </w:r>
    </w:p>
    <w:p w14:paraId="71F2949B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d)</w:t>
      </w:r>
      <w:r w:rsidRPr="000E4D1C">
        <w:rPr>
          <w:sz w:val="20"/>
          <w:szCs w:val="20"/>
        </w:rPr>
        <w:t xml:space="preserve"> por outros motivos justificados no processo.</w:t>
      </w:r>
    </w:p>
    <w:p w14:paraId="023C04BC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lastRenderedPageBreak/>
        <w:t>V – </w:t>
      </w:r>
      <w:proofErr w:type="gramStart"/>
      <w:r w:rsidRPr="000E4D1C">
        <w:rPr>
          <w:sz w:val="20"/>
          <w:szCs w:val="20"/>
        </w:rPr>
        <w:t>possibilidade</w:t>
      </w:r>
      <w:proofErr w:type="gramEnd"/>
      <w:r w:rsidRPr="000E4D1C">
        <w:rPr>
          <w:sz w:val="20"/>
          <w:szCs w:val="20"/>
        </w:rPr>
        <w:t xml:space="preserve"> de o licitante oferecer ou não proposta em quantitativo inferior ao máximo previsto, desde que previamente definida a quantidade mínima, obrigando-se nos limites dela;</w:t>
      </w:r>
    </w:p>
    <w:p w14:paraId="538E4EAD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VI – </w:t>
      </w:r>
      <w:proofErr w:type="gramStart"/>
      <w:r w:rsidRPr="000E4D1C">
        <w:rPr>
          <w:sz w:val="20"/>
          <w:szCs w:val="20"/>
        </w:rPr>
        <w:t>critério</w:t>
      </w:r>
      <w:proofErr w:type="gramEnd"/>
      <w:r w:rsidRPr="000E4D1C">
        <w:rPr>
          <w:sz w:val="20"/>
          <w:szCs w:val="20"/>
        </w:rPr>
        <w:t xml:space="preserve"> de julgamento, que será o de menor preço ou o de maior desconto, este sobre tabela de preços praticada no mercado;</w:t>
      </w:r>
    </w:p>
    <w:p w14:paraId="156D2D67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VII – </w:t>
      </w:r>
      <w:r w:rsidRPr="000E4D1C">
        <w:rPr>
          <w:sz w:val="20"/>
          <w:szCs w:val="20"/>
        </w:rPr>
        <w:t>critério de julgamento de menor preço por grupo de itens, que somente poderá ser adotado quando for demonstrada a inviabilidade de se promover a adjudicação por item e evidenciada a sua vantagem técnica e econômica, devendo ser indicado o critério de aceitabilidade de preços unitários máximos;</w:t>
      </w:r>
    </w:p>
    <w:p w14:paraId="187377C7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VIII – </w:t>
      </w:r>
      <w:r w:rsidRPr="000E4D1C">
        <w:rPr>
          <w:sz w:val="20"/>
          <w:szCs w:val="20"/>
        </w:rPr>
        <w:t>condições para alteração de preços registrados;</w:t>
      </w:r>
    </w:p>
    <w:p w14:paraId="20C6B8FA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IX – </w:t>
      </w:r>
      <w:proofErr w:type="gramStart"/>
      <w:r w:rsidRPr="000E4D1C">
        <w:rPr>
          <w:sz w:val="20"/>
          <w:szCs w:val="20"/>
        </w:rPr>
        <w:t>de</w:t>
      </w:r>
      <w:proofErr w:type="gramEnd"/>
      <w:r w:rsidRPr="000E4D1C">
        <w:rPr>
          <w:sz w:val="20"/>
          <w:szCs w:val="20"/>
        </w:rPr>
        <w:t xml:space="preserve"> mais de um fornecedor ou prestador de serviço, desde que a cotação seja em preço igual ao do licitante vencedor, assegurada a preferência de contratação de acordo com a ordem de classificação;</w:t>
      </w:r>
    </w:p>
    <w:p w14:paraId="02B324B1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X – </w:t>
      </w:r>
      <w:proofErr w:type="gramStart"/>
      <w:r w:rsidRPr="000E4D1C">
        <w:rPr>
          <w:sz w:val="20"/>
          <w:szCs w:val="20"/>
        </w:rPr>
        <w:t>hipóteses</w:t>
      </w:r>
      <w:proofErr w:type="gramEnd"/>
      <w:r w:rsidRPr="000E4D1C">
        <w:rPr>
          <w:sz w:val="20"/>
          <w:szCs w:val="20"/>
        </w:rPr>
        <w:t xml:space="preserve"> de cancelamento da ata de registro de preços e suas consequências.</w:t>
      </w:r>
    </w:p>
    <w:p w14:paraId="2D9353EC" w14:textId="31786D1A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§ </w:t>
      </w:r>
      <w:r w:rsidR="008539F6" w:rsidRPr="000E4D1C">
        <w:rPr>
          <w:b/>
          <w:sz w:val="20"/>
          <w:szCs w:val="20"/>
        </w:rPr>
        <w:t>3</w:t>
      </w:r>
      <w:r w:rsidRPr="000E4D1C">
        <w:rPr>
          <w:b/>
          <w:sz w:val="20"/>
          <w:szCs w:val="20"/>
        </w:rPr>
        <w:t>º </w:t>
      </w:r>
      <w:r w:rsidRPr="000E4D1C">
        <w:rPr>
          <w:sz w:val="20"/>
          <w:szCs w:val="20"/>
        </w:rPr>
        <w:t>Excepcionalmente, é permitido o registro de preços sem referência ao total a ser adquirido, com indicação limitada a unidades de contratação, sendo obrigatória a indicação do valor máximo da despesa, restrito às seguintes hipóteses:</w:t>
      </w:r>
    </w:p>
    <w:p w14:paraId="0807525E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 – </w:t>
      </w:r>
      <w:proofErr w:type="gramStart"/>
      <w:r w:rsidRPr="000E4D1C">
        <w:rPr>
          <w:sz w:val="20"/>
          <w:szCs w:val="20"/>
        </w:rPr>
        <w:t>quando</w:t>
      </w:r>
      <w:proofErr w:type="gramEnd"/>
      <w:r w:rsidRPr="000E4D1C">
        <w:rPr>
          <w:sz w:val="20"/>
          <w:szCs w:val="20"/>
        </w:rPr>
        <w:t xml:space="preserve"> for a primeira licitação para o objeto e não existir registro de demandas anteriores;</w:t>
      </w:r>
    </w:p>
    <w:p w14:paraId="1BEF8B29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 – </w:t>
      </w:r>
      <w:proofErr w:type="gramStart"/>
      <w:r w:rsidRPr="000E4D1C">
        <w:rPr>
          <w:sz w:val="20"/>
          <w:szCs w:val="20"/>
        </w:rPr>
        <w:t>no</w:t>
      </w:r>
      <w:proofErr w:type="gramEnd"/>
      <w:r w:rsidRPr="000E4D1C">
        <w:rPr>
          <w:sz w:val="20"/>
          <w:szCs w:val="20"/>
        </w:rPr>
        <w:t xml:space="preserve"> caso de alimento perecível;</w:t>
      </w:r>
    </w:p>
    <w:p w14:paraId="4FBA6169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III – </w:t>
      </w:r>
      <w:r w:rsidRPr="000E4D1C">
        <w:rPr>
          <w:sz w:val="20"/>
          <w:szCs w:val="20"/>
        </w:rPr>
        <w:t>no caso em que o serviço estiver integrado ao fornecimento de bens.</w:t>
      </w:r>
    </w:p>
    <w:p w14:paraId="3C37D7DB" w14:textId="5FA0BC19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3º</w:t>
      </w:r>
      <w:r w:rsidRPr="000E4D1C">
        <w:rPr>
          <w:sz w:val="20"/>
          <w:szCs w:val="20"/>
        </w:rPr>
        <w:t> No âmbito do procedimento disciplinado por esta Resolução, a adjudicação importa o registro, na ata, de todos os licitantes classificados que aceitarem cotar os bens ou serviços em preços iguais aos do licitante vencedor.</w:t>
      </w:r>
    </w:p>
    <w:p w14:paraId="4560B6D0" w14:textId="777777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4º</w:t>
      </w:r>
      <w:r w:rsidRPr="000E4D1C">
        <w:rPr>
          <w:sz w:val="20"/>
          <w:szCs w:val="20"/>
        </w:rPr>
        <w:t> O sistema de registro de preços poderá ser utilizado nas modalidades do pregão e da concorrência, bem como nas hipóteses de inexigibilidade e dispensa de licitação, observadas as regras e limites de cada situação.</w:t>
      </w:r>
    </w:p>
    <w:p w14:paraId="2A5223A1" w14:textId="6975F1D3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5º</w:t>
      </w:r>
      <w:r w:rsidRPr="000E4D1C">
        <w:rPr>
          <w:sz w:val="20"/>
          <w:szCs w:val="20"/>
        </w:rPr>
        <w:t> O prazo de vigência da ata de registro de preços será de 1 (um) ano e poderá ser prorrogado, por igual período, inclusive renovando as quantidades iniciais pactuadas, desde que demonstrada a vantajosidade do preço comparado ao preço praticado no mercado, o que será atestado mediante pesquisa de preços atualizada, na forma do artigo 23, da Lei Federal nº 14.133/2021 e do regulamento próprio d</w:t>
      </w:r>
      <w:r w:rsidR="008539F6" w:rsidRPr="000E4D1C">
        <w:rPr>
          <w:sz w:val="20"/>
          <w:szCs w:val="20"/>
        </w:rPr>
        <w:t>o Legislativo Municipal</w:t>
      </w:r>
      <w:r w:rsidRPr="000E4D1C">
        <w:rPr>
          <w:sz w:val="20"/>
          <w:szCs w:val="20"/>
        </w:rPr>
        <w:t xml:space="preserve">. </w:t>
      </w:r>
    </w:p>
    <w:p w14:paraId="2C2D97B4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sz w:val="20"/>
          <w:szCs w:val="20"/>
        </w:rPr>
        <w:lastRenderedPageBreak/>
        <w:t>§ 1º </w:t>
      </w:r>
      <w:r w:rsidRPr="000E4D1C">
        <w:rPr>
          <w:sz w:val="20"/>
          <w:szCs w:val="20"/>
        </w:rPr>
        <w:t xml:space="preserve">Excepcionalmente, se houver celebração de contrato que decorrer de ata de registro de preços, a vigência contratual será de acordo com as regras do Capítulo V, artigo 105 e seguintes, da Lei Federal nº 14.133/2021, que regulamenta a duração dos contratos. </w:t>
      </w:r>
    </w:p>
    <w:p w14:paraId="6C21A16A" w14:textId="02BB7698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§ 2º</w:t>
      </w:r>
      <w:r w:rsidRPr="000E4D1C">
        <w:rPr>
          <w:sz w:val="20"/>
          <w:szCs w:val="20"/>
        </w:rPr>
        <w:t> A existência de preços registrados implicará no compromisso de fornecimento nas condições estabelecidas, mas não obrigará a Câmara Municipal a contratar, sendo permitida a realização de licitação específica ou compra direta a depender de cada caso concreto, desde que devidamente motivada.</w:t>
      </w:r>
    </w:p>
    <w:p w14:paraId="613A5538" w14:textId="777777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6º</w:t>
      </w:r>
      <w:r w:rsidRPr="000E4D1C">
        <w:rPr>
          <w:sz w:val="20"/>
          <w:szCs w:val="20"/>
        </w:rPr>
        <w:t> A adesão à ata de registro de preços poderá ocorrer observados os seguintes requisitos:</w:t>
      </w:r>
    </w:p>
    <w:p w14:paraId="15E42CF9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 – </w:t>
      </w:r>
      <w:proofErr w:type="gramStart"/>
      <w:r w:rsidRPr="000E4D1C">
        <w:rPr>
          <w:sz w:val="20"/>
          <w:szCs w:val="20"/>
        </w:rPr>
        <w:t>exclusivamente</w:t>
      </w:r>
      <w:proofErr w:type="gramEnd"/>
      <w:r w:rsidRPr="000E4D1C">
        <w:rPr>
          <w:sz w:val="20"/>
          <w:szCs w:val="20"/>
        </w:rPr>
        <w:t xml:space="preserve"> às atas de registro de preços de órgãos ou entidades gerenciadoras federais, distrital, estaduais, municipais ou consórcios; </w:t>
      </w:r>
    </w:p>
    <w:p w14:paraId="6D9E07F3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 – </w:t>
      </w:r>
      <w:proofErr w:type="gramStart"/>
      <w:r w:rsidRPr="000E4D1C">
        <w:rPr>
          <w:sz w:val="20"/>
          <w:szCs w:val="20"/>
        </w:rPr>
        <w:t>mediante</w:t>
      </w:r>
      <w:proofErr w:type="gramEnd"/>
      <w:r w:rsidRPr="000E4D1C">
        <w:rPr>
          <w:sz w:val="20"/>
          <w:szCs w:val="20"/>
        </w:rPr>
        <w:t xml:space="preserve"> apresentação de justificativa acerca da vantagem da adesão, inclusive em situações de provável desabastecimento ou descontinuidade de serviço público;</w:t>
      </w:r>
    </w:p>
    <w:p w14:paraId="62A3D7A8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III – </w:t>
      </w:r>
      <w:r w:rsidRPr="000E4D1C">
        <w:rPr>
          <w:sz w:val="20"/>
          <w:szCs w:val="20"/>
        </w:rPr>
        <w:t>demonstração de que os valores registrados na ata estão compatíveis com os valores praticados pelo mercado, mediante ampla pesquisa de preços;</w:t>
      </w:r>
    </w:p>
    <w:p w14:paraId="429534E7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IV – </w:t>
      </w:r>
      <w:proofErr w:type="gramStart"/>
      <w:r w:rsidRPr="000E4D1C">
        <w:rPr>
          <w:sz w:val="20"/>
          <w:szCs w:val="20"/>
        </w:rPr>
        <w:t>realização</w:t>
      </w:r>
      <w:proofErr w:type="gramEnd"/>
      <w:r w:rsidRPr="000E4D1C">
        <w:rPr>
          <w:sz w:val="20"/>
          <w:szCs w:val="20"/>
        </w:rPr>
        <w:t xml:space="preserve"> de consulta prévia ao órgão ou a entidade gerenciadora, bem como ao fornecedor da ata de registro de preços, que deverão manifestar aceitação;</w:t>
      </w:r>
    </w:p>
    <w:p w14:paraId="711B58D5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V – </w:t>
      </w:r>
      <w:proofErr w:type="gramStart"/>
      <w:r w:rsidRPr="000E4D1C">
        <w:rPr>
          <w:sz w:val="20"/>
          <w:szCs w:val="20"/>
        </w:rPr>
        <w:t>no</w:t>
      </w:r>
      <w:proofErr w:type="gramEnd"/>
      <w:r w:rsidRPr="000E4D1C">
        <w:rPr>
          <w:sz w:val="20"/>
          <w:szCs w:val="20"/>
        </w:rPr>
        <w:t xml:space="preserve"> caso de adesão a ata de registro de preços, as quantidades não poderão exceder a 50% (cinquenta por cento) das quantidades estimadas em cada item do instrumento convocatório.</w:t>
      </w:r>
    </w:p>
    <w:p w14:paraId="412BD831" w14:textId="6E6E2F8A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Parágrafo único.</w:t>
      </w:r>
      <w:r w:rsidRPr="000E4D1C">
        <w:rPr>
          <w:sz w:val="20"/>
          <w:szCs w:val="20"/>
        </w:rPr>
        <w:t xml:space="preserve"> A Câmara Municipal não aceitará pedidos de adesão às suas atas de registro de preços.</w:t>
      </w:r>
    </w:p>
    <w:p w14:paraId="4A11B088" w14:textId="60C1FEBD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7º</w:t>
      </w:r>
      <w:r w:rsidRPr="000E4D1C">
        <w:rPr>
          <w:sz w:val="20"/>
          <w:szCs w:val="20"/>
        </w:rPr>
        <w:t> A existência de preço registrado não obriga a da Câmara Municipal a firmar as contratações que dele poderão advir, ficando-lhe facultada a utilização de outros meios, respeitada a legislação relativa às licitações, desde que devidamente motivada.</w:t>
      </w:r>
    </w:p>
    <w:p w14:paraId="23AE3E5B" w14:textId="777777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8º</w:t>
      </w:r>
      <w:r w:rsidRPr="000E4D1C">
        <w:rPr>
          <w:sz w:val="20"/>
          <w:szCs w:val="20"/>
        </w:rPr>
        <w:t> O preço registrado poderá ser suspenso ou cancelado, facultada a defesa prévia do interessado, no prazo de 5 (cinco) dias úteis, nos seguintes casos:</w:t>
      </w:r>
    </w:p>
    <w:p w14:paraId="6E9AE094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 – </w:t>
      </w:r>
      <w:proofErr w:type="gramStart"/>
      <w:r w:rsidRPr="000E4D1C">
        <w:rPr>
          <w:sz w:val="20"/>
          <w:szCs w:val="20"/>
        </w:rPr>
        <w:t>pela</w:t>
      </w:r>
      <w:proofErr w:type="gramEnd"/>
      <w:r w:rsidRPr="000E4D1C">
        <w:rPr>
          <w:sz w:val="20"/>
          <w:szCs w:val="20"/>
        </w:rPr>
        <w:t xml:space="preserve"> Administração, quando:</w:t>
      </w:r>
    </w:p>
    <w:p w14:paraId="46A67E75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a)</w:t>
      </w:r>
      <w:r w:rsidRPr="000E4D1C">
        <w:rPr>
          <w:sz w:val="20"/>
          <w:szCs w:val="20"/>
        </w:rPr>
        <w:t xml:space="preserve"> o fornecedor não cumprir as exigências do instrumento convocatório que der origem ao registro de preços;</w:t>
      </w:r>
    </w:p>
    <w:p w14:paraId="7C4E2F88" w14:textId="01B61264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b)</w:t>
      </w:r>
      <w:r w:rsidRPr="000E4D1C">
        <w:rPr>
          <w:sz w:val="20"/>
          <w:szCs w:val="20"/>
        </w:rPr>
        <w:t xml:space="preserve"> o fornecedor recusar-se a assinar a ata ou a formalizar contrato decorrente do registro de preços, ressalvada a hipótese de </w:t>
      </w:r>
      <w:r w:rsidR="008539F6" w:rsidRPr="000E4D1C">
        <w:rPr>
          <w:sz w:val="20"/>
          <w:szCs w:val="20"/>
        </w:rPr>
        <w:t>o Legislativo</w:t>
      </w:r>
      <w:r w:rsidRPr="000E4D1C">
        <w:rPr>
          <w:sz w:val="20"/>
          <w:szCs w:val="20"/>
        </w:rPr>
        <w:t xml:space="preserve"> aceitar sua justificativa;</w:t>
      </w:r>
    </w:p>
    <w:p w14:paraId="5E827D39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c)</w:t>
      </w:r>
      <w:r w:rsidRPr="000E4D1C">
        <w:rPr>
          <w:sz w:val="20"/>
          <w:szCs w:val="20"/>
        </w:rPr>
        <w:t xml:space="preserve"> o fornecedor der causa à rescisão;</w:t>
      </w:r>
    </w:p>
    <w:p w14:paraId="4F0AE79F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lastRenderedPageBreak/>
        <w:t>d)</w:t>
      </w:r>
      <w:r w:rsidRPr="000E4D1C">
        <w:rPr>
          <w:sz w:val="20"/>
          <w:szCs w:val="20"/>
        </w:rPr>
        <w:t xml:space="preserve"> em qualquer das hipóteses de inexecução total ou parcial da ata de registro de preços ou do contrato ou instrumento equivalente que dela decorrer;</w:t>
      </w:r>
    </w:p>
    <w:p w14:paraId="70649886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e)</w:t>
      </w:r>
      <w:r w:rsidRPr="000E4D1C">
        <w:rPr>
          <w:sz w:val="20"/>
          <w:szCs w:val="20"/>
        </w:rPr>
        <w:t xml:space="preserve"> os preços registrados se apresentarem superiores aos praticados pelo mercado;</w:t>
      </w:r>
    </w:p>
    <w:p w14:paraId="5E3C3DBF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f)</w:t>
      </w:r>
      <w:r w:rsidRPr="000E4D1C">
        <w:rPr>
          <w:sz w:val="20"/>
          <w:szCs w:val="20"/>
        </w:rPr>
        <w:t xml:space="preserve"> por razões de interesse público, devidamente fundamentadas.</w:t>
      </w:r>
    </w:p>
    <w:p w14:paraId="4819A5F9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 – </w:t>
      </w:r>
      <w:proofErr w:type="gramStart"/>
      <w:r w:rsidRPr="000E4D1C">
        <w:rPr>
          <w:sz w:val="20"/>
          <w:szCs w:val="20"/>
        </w:rPr>
        <w:t>pelo</w:t>
      </w:r>
      <w:proofErr w:type="gramEnd"/>
      <w:r w:rsidRPr="000E4D1C">
        <w:rPr>
          <w:sz w:val="20"/>
          <w:szCs w:val="20"/>
        </w:rPr>
        <w:t xml:space="preserve"> fornecedor quando, mediante solicitação por escrito, comprovar a impossibilidade de cumprir as exigências do instrumento convocatório que deu origem ao registro de preços.</w:t>
      </w:r>
    </w:p>
    <w:p w14:paraId="1B011647" w14:textId="777777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§ 1°</w:t>
      </w:r>
      <w:r w:rsidRPr="000E4D1C">
        <w:rPr>
          <w:sz w:val="20"/>
          <w:szCs w:val="20"/>
        </w:rPr>
        <w:t xml:space="preserve"> A comunicação do cancelamento ou da suspensão do preço registrado, nos casos previstos no inciso I deste artigo, deverá ser formalizada por </w:t>
      </w:r>
      <w:r w:rsidRPr="000E4D1C">
        <w:rPr>
          <w:i/>
          <w:iCs/>
          <w:sz w:val="20"/>
          <w:szCs w:val="20"/>
        </w:rPr>
        <w:t>e-mail</w:t>
      </w:r>
      <w:r w:rsidRPr="000E4D1C">
        <w:rPr>
          <w:sz w:val="20"/>
          <w:szCs w:val="20"/>
        </w:rPr>
        <w:t xml:space="preserve"> ou por correspondência, ambos com aviso de leitura/recebimento, juntando-se o comprovante no processo que deu origem ao registro de preços.</w:t>
      </w:r>
    </w:p>
    <w:p w14:paraId="13C06CF3" w14:textId="5A027E08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sz w:val="20"/>
          <w:szCs w:val="20"/>
        </w:rPr>
        <w:t>§ 2°</w:t>
      </w:r>
      <w:r w:rsidRPr="000E4D1C">
        <w:rPr>
          <w:sz w:val="20"/>
          <w:szCs w:val="20"/>
        </w:rPr>
        <w:t> No caso de ser ignorado, incerto ou inacessível o lugar do fornecedor, a comunicação será feita por publicação na Imprensa Oficial da Câmara Municipal, considerando-se cancelado ou suspenso o preço registrado a partir de 5 (cinco) dias úteis da sua publicação.</w:t>
      </w:r>
    </w:p>
    <w:p w14:paraId="582060DF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sz w:val="20"/>
          <w:szCs w:val="20"/>
        </w:rPr>
        <w:t>§ 3° </w:t>
      </w:r>
      <w:r w:rsidRPr="000E4D1C">
        <w:rPr>
          <w:sz w:val="20"/>
          <w:szCs w:val="20"/>
        </w:rPr>
        <w:t>Será estabelecido, no edital ou no expediente da solicitação, o prazo previsto para a suspensão temporária do preço registrado.</w:t>
      </w:r>
    </w:p>
    <w:p w14:paraId="6D31267F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sz w:val="20"/>
          <w:szCs w:val="20"/>
        </w:rPr>
        <w:t>§ 4°</w:t>
      </w:r>
      <w:r w:rsidRPr="000E4D1C">
        <w:rPr>
          <w:sz w:val="20"/>
          <w:szCs w:val="20"/>
        </w:rPr>
        <w:t> Enquanto perdurar a suspensão, poderão ser realizadas novas licitações para o objeto do registro de preços.</w:t>
      </w:r>
    </w:p>
    <w:p w14:paraId="119ECE06" w14:textId="77777777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sz w:val="20"/>
          <w:szCs w:val="20"/>
        </w:rPr>
        <w:t>§ 5°</w:t>
      </w:r>
      <w:r w:rsidRPr="000E4D1C">
        <w:rPr>
          <w:sz w:val="20"/>
          <w:szCs w:val="20"/>
        </w:rPr>
        <w:t> Da decisão que a cancelar ou suspender o preço registrado cabe recurso, no prazo de 5 (cinco) dias úteis.</w:t>
      </w:r>
    </w:p>
    <w:p w14:paraId="145287A3" w14:textId="777777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9º</w:t>
      </w:r>
      <w:r w:rsidRPr="000E4D1C">
        <w:rPr>
          <w:sz w:val="20"/>
          <w:szCs w:val="20"/>
        </w:rPr>
        <w:t> Havendo alteração de preços dos materiais, gêneros ou serviços tabelados por órgãos oficiais competentes, os preços registrados poderão sofrer reequilíbrio econômico-financeiro em conformidade com as modificações ocorridas, conforme restar efetivamente demonstrado.</w:t>
      </w:r>
    </w:p>
    <w:p w14:paraId="3D2A2852" w14:textId="777777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 10.</w:t>
      </w:r>
      <w:r w:rsidRPr="000E4D1C">
        <w:rPr>
          <w:sz w:val="20"/>
          <w:szCs w:val="20"/>
        </w:rPr>
        <w:t xml:space="preserve"> Compete ao órgão contratante a prática de atos de gestão e controle do registro de preços, inclusive no que se refere a quantidade máxima registrada, preferencialmente, utilizando </w:t>
      </w:r>
      <w:r w:rsidRPr="000E4D1C">
        <w:rPr>
          <w:i/>
          <w:iCs/>
          <w:sz w:val="20"/>
          <w:szCs w:val="20"/>
        </w:rPr>
        <w:t>software</w:t>
      </w:r>
      <w:r w:rsidRPr="000E4D1C">
        <w:rPr>
          <w:sz w:val="20"/>
          <w:szCs w:val="20"/>
        </w:rPr>
        <w:t>/sistema de gerenciamento.</w:t>
      </w:r>
    </w:p>
    <w:p w14:paraId="15599CCC" w14:textId="63FE1ED9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11.</w:t>
      </w:r>
      <w:r w:rsidRPr="000E4D1C">
        <w:rPr>
          <w:sz w:val="20"/>
          <w:szCs w:val="20"/>
        </w:rPr>
        <w:t xml:space="preserve"> A utilização do preço registrado nos termos desta Resolução não é automatizada, e dependerá de requisição ou solicitação fundamentada do </w:t>
      </w:r>
      <w:r w:rsidR="008539F6" w:rsidRPr="000E4D1C">
        <w:rPr>
          <w:sz w:val="20"/>
          <w:szCs w:val="20"/>
        </w:rPr>
        <w:t>requisitante</w:t>
      </w:r>
      <w:r w:rsidRPr="000E4D1C">
        <w:rPr>
          <w:sz w:val="20"/>
          <w:szCs w:val="20"/>
        </w:rPr>
        <w:t>.</w:t>
      </w:r>
    </w:p>
    <w:p w14:paraId="29E0EAC5" w14:textId="60EF467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t>Art. 12.</w:t>
      </w:r>
      <w:r w:rsidRPr="000E4D1C">
        <w:rPr>
          <w:sz w:val="20"/>
          <w:szCs w:val="20"/>
        </w:rPr>
        <w:t> </w:t>
      </w:r>
      <w:r w:rsidR="00400FCD" w:rsidRPr="000E4D1C">
        <w:rPr>
          <w:sz w:val="20"/>
          <w:szCs w:val="20"/>
        </w:rPr>
        <w:t xml:space="preserve">As atas de registro de preços e a indicação dos respectivos </w:t>
      </w:r>
      <w:r w:rsidRPr="000E4D1C">
        <w:rPr>
          <w:sz w:val="20"/>
          <w:szCs w:val="20"/>
        </w:rPr>
        <w:t>preços registrados serão publicados na imprensa oficial da Câmara Municipal</w:t>
      </w:r>
      <w:r w:rsidR="00400FCD" w:rsidRPr="000E4D1C">
        <w:rPr>
          <w:sz w:val="20"/>
          <w:szCs w:val="20"/>
        </w:rPr>
        <w:t xml:space="preserve"> e no Portal Nacional de Contratações Públicas (PNCP)</w:t>
      </w:r>
      <w:r w:rsidRPr="000E4D1C">
        <w:rPr>
          <w:sz w:val="20"/>
          <w:szCs w:val="20"/>
        </w:rPr>
        <w:t>, devendo constar na publicação, obrigatoriamente:</w:t>
      </w:r>
    </w:p>
    <w:p w14:paraId="349B44EF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 – </w:t>
      </w:r>
      <w:proofErr w:type="gramStart"/>
      <w:r w:rsidRPr="000E4D1C">
        <w:rPr>
          <w:sz w:val="20"/>
          <w:szCs w:val="20"/>
        </w:rPr>
        <w:t>o</w:t>
      </w:r>
      <w:proofErr w:type="gramEnd"/>
      <w:r w:rsidRPr="000E4D1C">
        <w:rPr>
          <w:sz w:val="20"/>
          <w:szCs w:val="20"/>
        </w:rPr>
        <w:t xml:space="preserve"> objeto registrado;</w:t>
      </w:r>
    </w:p>
    <w:p w14:paraId="43B05599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 – </w:t>
      </w:r>
      <w:proofErr w:type="gramStart"/>
      <w:r w:rsidRPr="000E4D1C">
        <w:rPr>
          <w:sz w:val="20"/>
          <w:szCs w:val="20"/>
        </w:rPr>
        <w:t>o</w:t>
      </w:r>
      <w:proofErr w:type="gramEnd"/>
      <w:r w:rsidRPr="000E4D1C">
        <w:rPr>
          <w:sz w:val="20"/>
          <w:szCs w:val="20"/>
        </w:rPr>
        <w:t xml:space="preserve"> preço registrado;</w:t>
      </w:r>
    </w:p>
    <w:p w14:paraId="5ED0A114" w14:textId="77777777" w:rsidR="00641993" w:rsidRPr="000E4D1C" w:rsidRDefault="00641993" w:rsidP="00641993">
      <w:pPr>
        <w:pStyle w:val="Estilo2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III – </w:t>
      </w:r>
      <w:r w:rsidRPr="000E4D1C">
        <w:rPr>
          <w:sz w:val="20"/>
          <w:szCs w:val="20"/>
        </w:rPr>
        <w:t>o prazo de validade do registro.</w:t>
      </w:r>
    </w:p>
    <w:p w14:paraId="04C05596" w14:textId="51044767" w:rsidR="00641993" w:rsidRPr="000E4D1C" w:rsidRDefault="00641993" w:rsidP="00641993">
      <w:pPr>
        <w:pStyle w:val="Art"/>
        <w:rPr>
          <w:sz w:val="20"/>
          <w:szCs w:val="20"/>
        </w:rPr>
      </w:pPr>
      <w:r w:rsidRPr="000E4D1C">
        <w:rPr>
          <w:b/>
          <w:sz w:val="20"/>
          <w:szCs w:val="20"/>
        </w:rPr>
        <w:lastRenderedPageBreak/>
        <w:t>§ 1º</w:t>
      </w:r>
      <w:r w:rsidRPr="000E4D1C">
        <w:rPr>
          <w:sz w:val="20"/>
          <w:szCs w:val="20"/>
        </w:rPr>
        <w:t xml:space="preserve"> Sempre que houver alteração nos preços registrados, será publicada, também na imprensa oficial da Câmara Municipal, informação acerca do objeto respectivo e do preço atualizado.</w:t>
      </w:r>
    </w:p>
    <w:p w14:paraId="619FFC62" w14:textId="203AFEA0" w:rsidR="00641993" w:rsidRPr="000E4D1C" w:rsidRDefault="00641993" w:rsidP="00641993">
      <w:pPr>
        <w:pStyle w:val="Estilo1"/>
        <w:rPr>
          <w:sz w:val="20"/>
          <w:szCs w:val="20"/>
        </w:rPr>
      </w:pPr>
      <w:r w:rsidRPr="000E4D1C">
        <w:rPr>
          <w:b/>
          <w:sz w:val="20"/>
          <w:szCs w:val="20"/>
        </w:rPr>
        <w:t>§ 2º</w:t>
      </w:r>
      <w:r w:rsidRPr="000E4D1C">
        <w:rPr>
          <w:sz w:val="20"/>
          <w:szCs w:val="20"/>
        </w:rPr>
        <w:t xml:space="preserve"> A Câmara poderá fazer constar na publicação que as informações indicadas neste artigo estarão disponíveis, na íntegra, no endereço eletrônico da Câmara Municipal, com vistas à economicidade.</w:t>
      </w:r>
    </w:p>
    <w:p w14:paraId="3E3C13CC" w14:textId="4B071FCD" w:rsidR="00F72000" w:rsidRPr="000E4D1C" w:rsidRDefault="00F72000" w:rsidP="005143DB">
      <w:pPr>
        <w:pStyle w:val="Art"/>
        <w:rPr>
          <w:sz w:val="20"/>
          <w:szCs w:val="20"/>
        </w:rPr>
      </w:pPr>
      <w:r w:rsidRPr="000E4D1C">
        <w:rPr>
          <w:b/>
          <w:bCs/>
          <w:sz w:val="20"/>
          <w:szCs w:val="20"/>
        </w:rPr>
        <w:t>Art.</w:t>
      </w:r>
      <w:r w:rsidR="005143DB" w:rsidRPr="000E4D1C">
        <w:rPr>
          <w:b/>
          <w:bCs/>
          <w:sz w:val="20"/>
          <w:szCs w:val="20"/>
        </w:rPr>
        <w:t> </w:t>
      </w:r>
      <w:r w:rsidR="00641993" w:rsidRPr="000E4D1C">
        <w:rPr>
          <w:b/>
          <w:bCs/>
          <w:sz w:val="20"/>
          <w:szCs w:val="20"/>
        </w:rPr>
        <w:t>13</w:t>
      </w:r>
      <w:r w:rsidR="005143DB" w:rsidRPr="000E4D1C">
        <w:rPr>
          <w:sz w:val="20"/>
          <w:szCs w:val="20"/>
        </w:rPr>
        <w:t> E</w:t>
      </w:r>
      <w:r w:rsidRPr="000E4D1C">
        <w:rPr>
          <w:sz w:val="20"/>
          <w:szCs w:val="20"/>
        </w:rPr>
        <w:t>sta Resolução de Mesa entra em vigor na data de sua publicação.</w:t>
      </w:r>
    </w:p>
    <w:p w14:paraId="21D05ABE" w14:textId="77777777" w:rsidR="00F72000" w:rsidRPr="000E4D1C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135F880" w14:textId="27F75A9C" w:rsidR="00F72000" w:rsidRPr="000E4D1C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987224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06</w:t>
          </w:r>
        </w:sdtContent>
      </w:sdt>
      <w:r w:rsidR="007E3890" w:rsidRPr="000E4D1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0E4D1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987224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abril</w:t>
          </w:r>
          <w:bookmarkStart w:id="0" w:name="_GoBack"/>
          <w:bookmarkEnd w:id="0"/>
        </w:sdtContent>
      </w:sdt>
      <w:r w:rsidR="007E3890" w:rsidRPr="000E4D1C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0E4D1C">
        <w:rPr>
          <w:rFonts w:asciiTheme="majorHAnsi" w:eastAsia="Times New Roman" w:hAnsiTheme="majorHAnsi" w:cstheme="majorHAnsi"/>
          <w:sz w:val="20"/>
          <w:szCs w:val="20"/>
          <w:lang w:eastAsia="pt-BR"/>
        </w:rPr>
        <w:t>de 2026.</w:t>
      </w:r>
    </w:p>
    <w:p w14:paraId="1E8B194C" w14:textId="77777777" w:rsidR="00F72000" w:rsidRPr="000E4D1C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956476F" w14:textId="77777777" w:rsidR="00F72000" w:rsidRPr="000E4D1C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DFF4A75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FERNANDO LOCATELLI</w:t>
      </w: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Presidente</w:t>
      </w:r>
    </w:p>
    <w:p w14:paraId="25D8623E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93DA209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4C7E3857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CIRIO FRANCISCO DE FREITAS</w:t>
      </w: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Vice-Presidente</w:t>
      </w:r>
    </w:p>
    <w:p w14:paraId="2144523A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5132EC5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BF62224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PAULO CESAR BETTONI</w:t>
      </w: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1º Secretário</w:t>
      </w:r>
    </w:p>
    <w:p w14:paraId="0C88B279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33374F1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181A291B" w14:textId="77777777" w:rsidR="00F72000" w:rsidRPr="000E4D1C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CLEONIR GUARNIERI</w:t>
      </w:r>
      <w:r w:rsidRPr="000E4D1C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2º Secretário</w:t>
      </w:r>
    </w:p>
    <w:p w14:paraId="3EA7A57C" w14:textId="77777777" w:rsidR="00D54D13" w:rsidRPr="000E4D1C" w:rsidRDefault="00D54D13" w:rsidP="00F72000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D54D13" w:rsidRPr="000E4D1C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0E4D1C"/>
    <w:rsid w:val="00142F48"/>
    <w:rsid w:val="00194638"/>
    <w:rsid w:val="00400FCD"/>
    <w:rsid w:val="005143DB"/>
    <w:rsid w:val="0056311F"/>
    <w:rsid w:val="00575D5F"/>
    <w:rsid w:val="00641993"/>
    <w:rsid w:val="007D0AC9"/>
    <w:rsid w:val="007E3890"/>
    <w:rsid w:val="008539F6"/>
    <w:rsid w:val="00921546"/>
    <w:rsid w:val="00987224"/>
    <w:rsid w:val="009D231F"/>
    <w:rsid w:val="00A11B58"/>
    <w:rsid w:val="00C65295"/>
    <w:rsid w:val="00D54D13"/>
    <w:rsid w:val="00DC3659"/>
    <w:rsid w:val="00F6105A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94638"/>
    <w:pPr>
      <w:keepNext/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94638"/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2E1891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2E1891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142F48"/>
    <w:rsid w:val="002E1891"/>
    <w:rsid w:val="00340453"/>
    <w:rsid w:val="00495E03"/>
    <w:rsid w:val="00505FA8"/>
    <w:rsid w:val="0056311F"/>
    <w:rsid w:val="00575D5F"/>
    <w:rsid w:val="00890135"/>
    <w:rsid w:val="00894CD3"/>
    <w:rsid w:val="008B59A0"/>
    <w:rsid w:val="00A11B58"/>
    <w:rsid w:val="00F6105A"/>
    <w:rsid w:val="00F73436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2026-04-10T00:09:00Z</cp:lastPrinted>
  <dcterms:created xsi:type="dcterms:W3CDTF">2026-03-23T18:37:00Z</dcterms:created>
  <dcterms:modified xsi:type="dcterms:W3CDTF">2026-04-10T00:09:00Z</dcterms:modified>
</cp:coreProperties>
</file>