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93BFD9" w14:textId="7D0531F0" w:rsidR="00F72000" w:rsidRPr="004C5E90" w:rsidRDefault="00F72000" w:rsidP="0002409A">
      <w:pPr>
        <w:pStyle w:val="Subttulo"/>
        <w:spacing w:after="400"/>
        <w:rPr>
          <w:sz w:val="21"/>
          <w:szCs w:val="21"/>
        </w:rPr>
      </w:pPr>
      <w:r w:rsidRPr="004C5E90">
        <w:rPr>
          <w:sz w:val="21"/>
          <w:szCs w:val="21"/>
        </w:rPr>
        <w:t xml:space="preserve">RESOLUÇÃO DE MESA Nº </w:t>
      </w:r>
      <w:sdt>
        <w:sdtPr>
          <w:rPr>
            <w:sz w:val="21"/>
            <w:szCs w:val="21"/>
          </w:rPr>
          <w:id w:val="-1206636280"/>
          <w:placeholder>
            <w:docPart w:val="5AD4F4178D454899A9227478369A8166"/>
          </w:placeholder>
        </w:sdtPr>
        <w:sdtEndPr/>
        <w:sdtContent>
          <w:r w:rsidR="004C5E90" w:rsidRPr="004C5E90">
            <w:rPr>
              <w:sz w:val="21"/>
              <w:szCs w:val="21"/>
            </w:rPr>
            <w:t>01</w:t>
          </w:r>
          <w:r w:rsidR="00D84CE7">
            <w:rPr>
              <w:sz w:val="21"/>
              <w:szCs w:val="21"/>
            </w:rPr>
            <w:t>1</w:t>
          </w:r>
        </w:sdtContent>
      </w:sdt>
      <w:r w:rsidRPr="004C5E90">
        <w:rPr>
          <w:sz w:val="21"/>
          <w:szCs w:val="21"/>
        </w:rPr>
        <w:t>/</w:t>
      </w:r>
      <w:sdt>
        <w:sdtPr>
          <w:rPr>
            <w:sz w:val="21"/>
            <w:szCs w:val="21"/>
          </w:rPr>
          <w:id w:val="58759453"/>
          <w:placeholder>
            <w:docPart w:val="9F70A31503324020B606C083923011F4"/>
          </w:placeholder>
        </w:sdtPr>
        <w:sdtEndPr/>
        <w:sdtContent>
          <w:r w:rsidR="004C5E90" w:rsidRPr="004C5E90">
            <w:rPr>
              <w:sz w:val="21"/>
              <w:szCs w:val="21"/>
            </w:rPr>
            <w:t>2026</w:t>
          </w:r>
        </w:sdtContent>
      </w:sdt>
    </w:p>
    <w:p w14:paraId="6DCE37DE" w14:textId="32A6E25D" w:rsidR="00F72000" w:rsidRPr="004C5E90" w:rsidRDefault="001C287F" w:rsidP="00F72000">
      <w:pPr>
        <w:spacing w:after="0" w:line="240" w:lineRule="auto"/>
        <w:ind w:left="3686"/>
        <w:jc w:val="both"/>
        <w:rPr>
          <w:rFonts w:asciiTheme="majorHAnsi" w:eastAsia="Times New Roman" w:hAnsiTheme="majorHAnsi" w:cstheme="majorHAnsi"/>
          <w:i/>
          <w:sz w:val="21"/>
          <w:szCs w:val="21"/>
          <w:lang w:eastAsia="pt-BR"/>
        </w:rPr>
      </w:pPr>
      <w:r w:rsidRPr="004C5E90">
        <w:rPr>
          <w:rFonts w:asciiTheme="majorHAnsi" w:eastAsia="Times New Roman" w:hAnsiTheme="majorHAnsi" w:cstheme="majorHAnsi"/>
          <w:i/>
          <w:sz w:val="21"/>
          <w:szCs w:val="21"/>
          <w:lang w:eastAsia="pt-BR"/>
        </w:rPr>
        <w:t>Institui Normas de Procedimento Administrativo para a realização de Credenciamento, no âmbito do Poder Legislativo Municipal</w:t>
      </w:r>
      <w:r w:rsidR="00C65295" w:rsidRPr="004C5E90">
        <w:rPr>
          <w:rFonts w:asciiTheme="majorHAnsi" w:eastAsia="Times New Roman" w:hAnsiTheme="majorHAnsi" w:cstheme="majorHAnsi"/>
          <w:i/>
          <w:sz w:val="21"/>
          <w:szCs w:val="21"/>
          <w:lang w:eastAsia="pt-BR"/>
        </w:rPr>
        <w:t>.</w:t>
      </w:r>
    </w:p>
    <w:p w14:paraId="1B42422D" w14:textId="77777777" w:rsidR="00F72000" w:rsidRPr="004C5E90" w:rsidRDefault="00F72000" w:rsidP="00F72000">
      <w:pPr>
        <w:spacing w:after="0" w:line="360" w:lineRule="auto"/>
        <w:ind w:left="3686"/>
        <w:jc w:val="both"/>
        <w:rPr>
          <w:rFonts w:asciiTheme="majorHAnsi" w:eastAsia="Times New Roman" w:hAnsiTheme="majorHAnsi" w:cstheme="majorHAnsi"/>
          <w:sz w:val="21"/>
          <w:szCs w:val="21"/>
          <w:lang w:eastAsia="pt-BR"/>
        </w:rPr>
      </w:pPr>
    </w:p>
    <w:p w14:paraId="57F17C02" w14:textId="77777777" w:rsidR="00F72000" w:rsidRPr="004C5E90" w:rsidRDefault="00F72000" w:rsidP="0002409A">
      <w:pPr>
        <w:spacing w:after="400" w:line="360" w:lineRule="auto"/>
        <w:ind w:firstLine="1276"/>
        <w:jc w:val="both"/>
        <w:rPr>
          <w:rFonts w:asciiTheme="majorHAnsi" w:eastAsia="Times New Roman" w:hAnsiTheme="majorHAnsi" w:cstheme="majorHAnsi"/>
          <w:sz w:val="21"/>
          <w:szCs w:val="21"/>
          <w:lang w:eastAsia="pt-BR"/>
        </w:rPr>
      </w:pPr>
      <w:r w:rsidRPr="004C5E90">
        <w:rPr>
          <w:rFonts w:asciiTheme="majorHAnsi" w:eastAsia="Times New Roman" w:hAnsiTheme="majorHAnsi" w:cstheme="majorHAnsi"/>
          <w:b/>
          <w:sz w:val="21"/>
          <w:szCs w:val="21"/>
          <w:lang w:eastAsia="pt-BR"/>
        </w:rPr>
        <w:t>A MESA DIRETORA DA CÂMARA MUNICIPAL DE VEREADORES DE ANTA GORDA</w:t>
      </w:r>
      <w:r w:rsidRPr="004C5E90">
        <w:rPr>
          <w:rFonts w:asciiTheme="majorHAnsi" w:eastAsia="Times New Roman" w:hAnsiTheme="majorHAnsi" w:cstheme="majorHAnsi"/>
          <w:sz w:val="21"/>
          <w:szCs w:val="21"/>
          <w:lang w:eastAsia="pt-BR"/>
        </w:rPr>
        <w:t>, no uso de suas atribuições legais e regimentais, especialmente aquelas relacionadas à direção dos serviços administrativos e à gestão orçamentária do Poder Legislativo,</w:t>
      </w:r>
    </w:p>
    <w:p w14:paraId="1ABE0A1B" w14:textId="77777777" w:rsidR="00F72000" w:rsidRPr="004C5E90" w:rsidRDefault="00F72000" w:rsidP="001C287F">
      <w:pPr>
        <w:pStyle w:val="Ttulo"/>
        <w:spacing w:after="400"/>
        <w:contextualSpacing w:val="0"/>
        <w:rPr>
          <w:sz w:val="21"/>
          <w:szCs w:val="21"/>
        </w:rPr>
      </w:pPr>
      <w:r w:rsidRPr="004C5E90">
        <w:rPr>
          <w:sz w:val="21"/>
          <w:szCs w:val="21"/>
        </w:rPr>
        <w:t>RESOLVE:</w:t>
      </w:r>
    </w:p>
    <w:p w14:paraId="16D825EE" w14:textId="77777777" w:rsidR="001C287F" w:rsidRPr="004C5E90" w:rsidRDefault="001C287F" w:rsidP="001C287F">
      <w:pPr>
        <w:pStyle w:val="Ttulo"/>
        <w:rPr>
          <w:sz w:val="21"/>
          <w:szCs w:val="21"/>
        </w:rPr>
      </w:pPr>
      <w:r w:rsidRPr="004C5E90">
        <w:rPr>
          <w:sz w:val="21"/>
          <w:szCs w:val="21"/>
        </w:rPr>
        <w:t>CAPÍTULO I</w:t>
      </w:r>
    </w:p>
    <w:p w14:paraId="7D33E20A" w14:textId="77777777" w:rsidR="001C287F" w:rsidRPr="004C5E90" w:rsidRDefault="001C287F" w:rsidP="001C287F">
      <w:pPr>
        <w:pStyle w:val="Ttulo"/>
        <w:rPr>
          <w:sz w:val="21"/>
          <w:szCs w:val="21"/>
        </w:rPr>
      </w:pPr>
      <w:r w:rsidRPr="004C5E90">
        <w:rPr>
          <w:sz w:val="21"/>
          <w:szCs w:val="21"/>
        </w:rPr>
        <w:t>Disposições Gerais</w:t>
      </w:r>
    </w:p>
    <w:p w14:paraId="4A739DE2" w14:textId="77777777" w:rsidR="001C287F" w:rsidRPr="004C5E90" w:rsidRDefault="001C287F" w:rsidP="001C287F">
      <w:pPr>
        <w:pStyle w:val="Ttulo"/>
        <w:rPr>
          <w:sz w:val="21"/>
          <w:szCs w:val="21"/>
        </w:rPr>
      </w:pPr>
      <w:r w:rsidRPr="004C5E90">
        <w:rPr>
          <w:sz w:val="21"/>
          <w:szCs w:val="21"/>
        </w:rPr>
        <w:t>SEÇÃO I</w:t>
      </w:r>
    </w:p>
    <w:p w14:paraId="507CB181" w14:textId="77777777" w:rsidR="001C287F" w:rsidRPr="004C5E90" w:rsidRDefault="001C287F" w:rsidP="001C287F">
      <w:pPr>
        <w:pStyle w:val="Ttulo"/>
        <w:rPr>
          <w:sz w:val="21"/>
          <w:szCs w:val="21"/>
        </w:rPr>
      </w:pPr>
      <w:r w:rsidRPr="004C5E90">
        <w:rPr>
          <w:sz w:val="21"/>
          <w:szCs w:val="21"/>
        </w:rPr>
        <w:t>Objeto e Âmbito de Aplicação</w:t>
      </w:r>
    </w:p>
    <w:p w14:paraId="5AB289DD" w14:textId="4DF431F5" w:rsidR="001C287F" w:rsidRPr="004C5E90" w:rsidRDefault="001C287F" w:rsidP="001C287F">
      <w:pPr>
        <w:pStyle w:val="Art"/>
        <w:rPr>
          <w:sz w:val="21"/>
          <w:szCs w:val="21"/>
        </w:rPr>
      </w:pPr>
      <w:r w:rsidRPr="004C5E90">
        <w:rPr>
          <w:b/>
          <w:sz w:val="21"/>
          <w:szCs w:val="21"/>
        </w:rPr>
        <w:t>Art. 1º </w:t>
      </w:r>
      <w:r w:rsidRPr="004C5E90">
        <w:rPr>
          <w:sz w:val="21"/>
          <w:szCs w:val="21"/>
        </w:rPr>
        <w:t>Fica estabelecido o procedimento administrativo para a realização de credenciamento, no âmbito do Poder Legislativo Municipal.</w:t>
      </w:r>
    </w:p>
    <w:p w14:paraId="0E5FC1A0" w14:textId="09E57D7B" w:rsidR="001C287F" w:rsidRPr="004C5E90" w:rsidRDefault="00DD4449" w:rsidP="001C287F">
      <w:pPr>
        <w:pStyle w:val="Ttulo"/>
        <w:rPr>
          <w:sz w:val="21"/>
          <w:szCs w:val="21"/>
        </w:rPr>
      </w:pPr>
      <w:r w:rsidRPr="004C5E90">
        <w:rPr>
          <w:caps w:val="0"/>
          <w:sz w:val="21"/>
          <w:szCs w:val="21"/>
        </w:rPr>
        <w:t>Definições</w:t>
      </w:r>
    </w:p>
    <w:p w14:paraId="0A93BE8A" w14:textId="77777777" w:rsidR="001C287F" w:rsidRPr="004C5E90" w:rsidRDefault="001C287F" w:rsidP="001C287F">
      <w:pPr>
        <w:pStyle w:val="Art"/>
        <w:rPr>
          <w:sz w:val="21"/>
          <w:szCs w:val="21"/>
        </w:rPr>
      </w:pPr>
      <w:r w:rsidRPr="004C5E90">
        <w:rPr>
          <w:b/>
          <w:sz w:val="21"/>
          <w:szCs w:val="21"/>
        </w:rPr>
        <w:t>Art. 2º </w:t>
      </w:r>
      <w:r w:rsidRPr="004C5E90">
        <w:rPr>
          <w:sz w:val="21"/>
          <w:szCs w:val="21"/>
        </w:rPr>
        <w:t>Credenciamento é o procedimento auxiliar de licitação realizado por chamamento público, destinado ao cadastramento de interessados aptos a fornecer bens ou prestar serviços sob condições previamente definidas e padronizadas pela Administração, sem garantia de demanda mínima, sendo as contratações realizadas conforme necessidade e critérios estabelecidos no edital.</w:t>
      </w:r>
    </w:p>
    <w:p w14:paraId="61017C70" w14:textId="3AA8EB66" w:rsidR="001C287F" w:rsidRPr="004C5E90" w:rsidRDefault="001C287F" w:rsidP="001C287F">
      <w:pPr>
        <w:pStyle w:val="Art"/>
        <w:rPr>
          <w:sz w:val="21"/>
          <w:szCs w:val="21"/>
        </w:rPr>
      </w:pPr>
      <w:r w:rsidRPr="004C5E90">
        <w:rPr>
          <w:b/>
          <w:sz w:val="21"/>
          <w:szCs w:val="21"/>
        </w:rPr>
        <w:t>Art. 3º </w:t>
      </w:r>
      <w:r w:rsidRPr="004C5E90">
        <w:rPr>
          <w:sz w:val="21"/>
          <w:szCs w:val="21"/>
        </w:rPr>
        <w:t>Para fins do disposto nest</w:t>
      </w:r>
      <w:r w:rsidR="00DD4449" w:rsidRPr="004C5E90">
        <w:rPr>
          <w:sz w:val="21"/>
          <w:szCs w:val="21"/>
        </w:rPr>
        <w:t xml:space="preserve">a Resolução </w:t>
      </w:r>
      <w:r w:rsidRPr="004C5E90">
        <w:rPr>
          <w:sz w:val="21"/>
          <w:szCs w:val="21"/>
        </w:rPr>
        <w:t>e com base no artigo 79, da Lei Federal nº 14.133/2021, o credenciamento poderá ser usado nas seguintes hipóteses:</w:t>
      </w:r>
    </w:p>
    <w:p w14:paraId="110FB965" w14:textId="77777777" w:rsidR="001C287F" w:rsidRPr="004C5E90" w:rsidRDefault="001C287F" w:rsidP="001C287F">
      <w:pPr>
        <w:pStyle w:val="Estilo1"/>
        <w:rPr>
          <w:sz w:val="21"/>
          <w:szCs w:val="21"/>
        </w:rPr>
      </w:pPr>
      <w:r w:rsidRPr="004C5E90">
        <w:rPr>
          <w:b/>
          <w:bCs/>
          <w:sz w:val="21"/>
          <w:szCs w:val="21"/>
        </w:rPr>
        <w:t>I -</w:t>
      </w:r>
      <w:r w:rsidRPr="004C5E90">
        <w:rPr>
          <w:sz w:val="21"/>
          <w:szCs w:val="21"/>
        </w:rPr>
        <w:t> </w:t>
      </w:r>
      <w:proofErr w:type="gramStart"/>
      <w:r w:rsidRPr="004C5E90">
        <w:rPr>
          <w:sz w:val="21"/>
          <w:szCs w:val="21"/>
        </w:rPr>
        <w:t>paralela e não excludente</w:t>
      </w:r>
      <w:proofErr w:type="gramEnd"/>
      <w:r w:rsidRPr="004C5E90">
        <w:rPr>
          <w:sz w:val="21"/>
          <w:szCs w:val="21"/>
        </w:rPr>
        <w:t>: caso em que é viável e vantajosa para a Administração a realização de contratações simultâneas em condições padronizadas;</w:t>
      </w:r>
    </w:p>
    <w:p w14:paraId="23480FF7" w14:textId="77777777" w:rsidR="001C287F" w:rsidRPr="004C5E90" w:rsidRDefault="001C287F" w:rsidP="001C287F">
      <w:pPr>
        <w:pStyle w:val="Estilo1"/>
        <w:rPr>
          <w:sz w:val="21"/>
          <w:szCs w:val="21"/>
        </w:rPr>
      </w:pPr>
      <w:r w:rsidRPr="004C5E90">
        <w:rPr>
          <w:b/>
          <w:bCs/>
          <w:sz w:val="21"/>
          <w:szCs w:val="21"/>
        </w:rPr>
        <w:t>II -</w:t>
      </w:r>
      <w:r w:rsidRPr="004C5E90">
        <w:rPr>
          <w:sz w:val="21"/>
          <w:szCs w:val="21"/>
        </w:rPr>
        <w:t> </w:t>
      </w:r>
      <w:proofErr w:type="gramStart"/>
      <w:r w:rsidRPr="004C5E90">
        <w:rPr>
          <w:sz w:val="21"/>
          <w:szCs w:val="21"/>
        </w:rPr>
        <w:t>com</w:t>
      </w:r>
      <w:proofErr w:type="gramEnd"/>
      <w:r w:rsidRPr="004C5E90">
        <w:rPr>
          <w:sz w:val="21"/>
          <w:szCs w:val="21"/>
        </w:rPr>
        <w:t xml:space="preserve"> seleção a critério de terceiros: caso em que a seleção do contratado está a cargo do beneficiário direto da prestação;</w:t>
      </w:r>
    </w:p>
    <w:p w14:paraId="1E993A05" w14:textId="77777777" w:rsidR="001C287F" w:rsidRPr="004C5E90" w:rsidRDefault="001C287F" w:rsidP="001C287F">
      <w:pPr>
        <w:pStyle w:val="Estilo1"/>
        <w:rPr>
          <w:sz w:val="21"/>
          <w:szCs w:val="21"/>
        </w:rPr>
      </w:pPr>
      <w:r w:rsidRPr="004C5E90">
        <w:rPr>
          <w:b/>
          <w:bCs/>
          <w:sz w:val="21"/>
          <w:szCs w:val="21"/>
        </w:rPr>
        <w:lastRenderedPageBreak/>
        <w:t>III -</w:t>
      </w:r>
      <w:r w:rsidRPr="004C5E90">
        <w:rPr>
          <w:sz w:val="21"/>
          <w:szCs w:val="21"/>
        </w:rPr>
        <w:t> em mercados fluidos: caso em que a flutuação constante do valor e das condições de contratação inviabiliza a seleção fornecedor ou prestador de serviços por meio de processo de licitação;</w:t>
      </w:r>
    </w:p>
    <w:p w14:paraId="775389A3" w14:textId="09C0C69A" w:rsidR="001C287F" w:rsidRPr="004C5E90" w:rsidRDefault="001C287F" w:rsidP="001C287F">
      <w:pPr>
        <w:pStyle w:val="Estilo1"/>
        <w:rPr>
          <w:sz w:val="21"/>
          <w:szCs w:val="21"/>
        </w:rPr>
      </w:pPr>
      <w:r w:rsidRPr="004C5E90">
        <w:rPr>
          <w:b/>
          <w:bCs/>
          <w:sz w:val="21"/>
          <w:szCs w:val="21"/>
        </w:rPr>
        <w:t>IV –</w:t>
      </w:r>
      <w:r w:rsidRPr="004C5E90">
        <w:rPr>
          <w:sz w:val="21"/>
          <w:szCs w:val="21"/>
        </w:rPr>
        <w:t xml:space="preserve"> </w:t>
      </w:r>
      <w:proofErr w:type="gramStart"/>
      <w:r w:rsidRPr="004C5E90">
        <w:rPr>
          <w:sz w:val="21"/>
          <w:szCs w:val="21"/>
        </w:rPr>
        <w:t>comércio</w:t>
      </w:r>
      <w:proofErr w:type="gramEnd"/>
      <w:r w:rsidRPr="004C5E90">
        <w:rPr>
          <w:sz w:val="21"/>
          <w:szCs w:val="21"/>
        </w:rPr>
        <w:t xml:space="preserve"> eletrônico: caso em que a Câmara Municipal visa a contratar bens e serviços comuns padronizados ofertados no Sistema de Compras Expressas (</w:t>
      </w:r>
      <w:proofErr w:type="spellStart"/>
      <w:r w:rsidRPr="004C5E90">
        <w:rPr>
          <w:sz w:val="21"/>
          <w:szCs w:val="21"/>
        </w:rPr>
        <w:t>Sicx</w:t>
      </w:r>
      <w:proofErr w:type="spellEnd"/>
      <w:r w:rsidRPr="004C5E90">
        <w:rPr>
          <w:sz w:val="21"/>
          <w:szCs w:val="21"/>
        </w:rPr>
        <w:t>)</w:t>
      </w:r>
      <w:r w:rsidR="00F05320" w:rsidRPr="004C5E90">
        <w:rPr>
          <w:sz w:val="21"/>
          <w:szCs w:val="21"/>
        </w:rPr>
        <w:t xml:space="preserve"> do Governo Federal</w:t>
      </w:r>
      <w:r w:rsidRPr="004C5E90">
        <w:rPr>
          <w:sz w:val="21"/>
          <w:szCs w:val="21"/>
        </w:rPr>
        <w:t>.</w:t>
      </w:r>
    </w:p>
    <w:p w14:paraId="5AD4186A" w14:textId="4C42C1EA" w:rsidR="001C287F" w:rsidRPr="004C5E90" w:rsidRDefault="001C287F" w:rsidP="001C287F">
      <w:pPr>
        <w:pStyle w:val="Art"/>
        <w:rPr>
          <w:sz w:val="21"/>
          <w:szCs w:val="21"/>
        </w:rPr>
      </w:pPr>
      <w:r w:rsidRPr="004C5E90">
        <w:rPr>
          <w:b/>
          <w:sz w:val="21"/>
          <w:szCs w:val="21"/>
        </w:rPr>
        <w:t>Art. 4º </w:t>
      </w:r>
      <w:r w:rsidRPr="004C5E90">
        <w:rPr>
          <w:sz w:val="21"/>
          <w:szCs w:val="21"/>
        </w:rPr>
        <w:t>A Câmara Municipal deverá divulgar e manter à disposição do público, em sítio eletrônico oficial incluído o Portal Nacional de Contratações Públicas – PNCP, edital de chamamento de interessados, de modo a permitir o cadastramento permanente de novos interessados no período em que o edital estiver aberto.</w:t>
      </w:r>
    </w:p>
    <w:p w14:paraId="15B9916C" w14:textId="77777777" w:rsidR="001C287F" w:rsidRPr="004C5E90" w:rsidRDefault="001C287F" w:rsidP="001C287F">
      <w:pPr>
        <w:pStyle w:val="Art"/>
        <w:rPr>
          <w:sz w:val="21"/>
          <w:szCs w:val="21"/>
        </w:rPr>
      </w:pPr>
      <w:r w:rsidRPr="004C5E90">
        <w:rPr>
          <w:b/>
          <w:sz w:val="21"/>
          <w:szCs w:val="21"/>
        </w:rPr>
        <w:t>Art. 5º </w:t>
      </w:r>
      <w:r w:rsidRPr="004C5E90">
        <w:rPr>
          <w:sz w:val="21"/>
          <w:szCs w:val="21"/>
        </w:rPr>
        <w:t>Na hipótese do inciso I, do artigo 3º, quando o objeto não permitir a contratação imediata e simultânea de todos os credenciados, deverão ser adotados critérios objetivos de distribuição da demanda, podendo ser utilizado o rodízio, sorteio, ordem cronológica de inscrição, pontuação e regionalização.</w:t>
      </w:r>
    </w:p>
    <w:p w14:paraId="0B0C99D4" w14:textId="77777777" w:rsidR="001C287F" w:rsidRPr="004C5E90" w:rsidRDefault="001C287F" w:rsidP="001C287F">
      <w:pPr>
        <w:pStyle w:val="Art"/>
        <w:rPr>
          <w:sz w:val="21"/>
          <w:szCs w:val="21"/>
        </w:rPr>
      </w:pPr>
      <w:r w:rsidRPr="004C5E90">
        <w:rPr>
          <w:b/>
          <w:sz w:val="21"/>
          <w:szCs w:val="21"/>
        </w:rPr>
        <w:t>Art. 6º </w:t>
      </w:r>
      <w:r w:rsidRPr="004C5E90">
        <w:rPr>
          <w:sz w:val="21"/>
          <w:szCs w:val="21"/>
        </w:rPr>
        <w:t>O edital de chamamento de interessados deverá prever as condições padronizadas de contratação e, nas hipóteses dos incisos I e II, do artigo 3º, deverá definir o valor da contratação.</w:t>
      </w:r>
    </w:p>
    <w:p w14:paraId="7D761954" w14:textId="0A4E188A" w:rsidR="001C287F" w:rsidRPr="004C5E90" w:rsidRDefault="001C287F" w:rsidP="001C287F">
      <w:pPr>
        <w:pStyle w:val="Art"/>
        <w:rPr>
          <w:sz w:val="21"/>
          <w:szCs w:val="21"/>
        </w:rPr>
      </w:pPr>
      <w:r w:rsidRPr="004C5E90">
        <w:rPr>
          <w:b/>
          <w:sz w:val="21"/>
          <w:szCs w:val="21"/>
        </w:rPr>
        <w:t>Art. 7º</w:t>
      </w:r>
      <w:r w:rsidRPr="004C5E90">
        <w:rPr>
          <w:sz w:val="21"/>
          <w:szCs w:val="21"/>
        </w:rPr>
        <w:t xml:space="preserve"> Na hipótese do inciso IV, do artigo 3º, ou seja, nas contratações em ambiente eletrônico de compras e contratações, quando adotadas, serão observadas as normas aplicáveis e as regras operacionais da plataforma utilizada, sem prejuízo das disposições desta Resolução e do edital convocatório. </w:t>
      </w:r>
    </w:p>
    <w:p w14:paraId="36B69803" w14:textId="121502F3" w:rsidR="001C287F" w:rsidRPr="004C5E90" w:rsidRDefault="001C287F" w:rsidP="001C287F">
      <w:pPr>
        <w:pStyle w:val="Art"/>
        <w:rPr>
          <w:sz w:val="21"/>
          <w:szCs w:val="21"/>
        </w:rPr>
      </w:pPr>
      <w:r w:rsidRPr="004C5E90">
        <w:rPr>
          <w:b/>
          <w:sz w:val="21"/>
          <w:szCs w:val="21"/>
        </w:rPr>
        <w:t>Art. 8º </w:t>
      </w:r>
      <w:r w:rsidRPr="004C5E90">
        <w:rPr>
          <w:sz w:val="21"/>
          <w:szCs w:val="21"/>
        </w:rPr>
        <w:t xml:space="preserve">É vedada a subcontratação, cessão ou transferência do objeto, total ou parcial, salvo autorização expressa da Câmara Municipal. </w:t>
      </w:r>
    </w:p>
    <w:p w14:paraId="15F28588" w14:textId="77777777" w:rsidR="001C287F" w:rsidRPr="004C5E90" w:rsidRDefault="001C287F" w:rsidP="001C287F">
      <w:pPr>
        <w:pStyle w:val="Art"/>
        <w:rPr>
          <w:sz w:val="21"/>
          <w:szCs w:val="21"/>
        </w:rPr>
      </w:pPr>
      <w:r w:rsidRPr="004C5E90">
        <w:rPr>
          <w:b/>
          <w:sz w:val="21"/>
          <w:szCs w:val="21"/>
        </w:rPr>
        <w:t>Art. 9º </w:t>
      </w:r>
      <w:r w:rsidRPr="004C5E90">
        <w:rPr>
          <w:sz w:val="21"/>
          <w:szCs w:val="21"/>
        </w:rPr>
        <w:t>Será admitido o descredenciamento a pedido do interessado, mediante comunicação prévia nos prazos e condições fixados no edital, sem prejuízo das responsabilidades por obrigações já assumidas.</w:t>
      </w:r>
    </w:p>
    <w:p w14:paraId="13F96F1A" w14:textId="77777777" w:rsidR="001C287F" w:rsidRPr="004C5E90" w:rsidRDefault="001C287F" w:rsidP="001C287F">
      <w:pPr>
        <w:pStyle w:val="Ttulo"/>
        <w:rPr>
          <w:sz w:val="21"/>
          <w:szCs w:val="21"/>
        </w:rPr>
      </w:pPr>
      <w:r w:rsidRPr="004C5E90">
        <w:rPr>
          <w:sz w:val="21"/>
          <w:szCs w:val="21"/>
        </w:rPr>
        <w:t>CAPÍTULO II</w:t>
      </w:r>
    </w:p>
    <w:p w14:paraId="6327F0DD" w14:textId="77777777" w:rsidR="001C287F" w:rsidRPr="004C5E90" w:rsidRDefault="001C287F" w:rsidP="001C287F">
      <w:pPr>
        <w:pStyle w:val="Ttulo"/>
        <w:rPr>
          <w:sz w:val="21"/>
          <w:szCs w:val="21"/>
        </w:rPr>
      </w:pPr>
      <w:r w:rsidRPr="004C5E90">
        <w:rPr>
          <w:sz w:val="21"/>
          <w:szCs w:val="21"/>
        </w:rPr>
        <w:t>Do PROCESSO E Credenciamento dos Fornecedores</w:t>
      </w:r>
    </w:p>
    <w:p w14:paraId="0E5045E0" w14:textId="77777777" w:rsidR="001C287F" w:rsidRPr="004C5E90" w:rsidRDefault="001C287F" w:rsidP="001C287F">
      <w:pPr>
        <w:pStyle w:val="Art"/>
        <w:rPr>
          <w:bCs/>
          <w:sz w:val="21"/>
          <w:szCs w:val="21"/>
        </w:rPr>
      </w:pPr>
      <w:r w:rsidRPr="004C5E90">
        <w:rPr>
          <w:b/>
          <w:sz w:val="21"/>
          <w:szCs w:val="21"/>
        </w:rPr>
        <w:t>Art. 10. </w:t>
      </w:r>
      <w:r w:rsidRPr="004C5E90">
        <w:rPr>
          <w:sz w:val="21"/>
          <w:szCs w:val="21"/>
        </w:rPr>
        <w:t>O procedimento de credenciamento observará, no mínimo, as seguintes etapas:</w:t>
      </w:r>
    </w:p>
    <w:p w14:paraId="389551F5" w14:textId="77777777" w:rsidR="001C287F" w:rsidRPr="004C5E90" w:rsidRDefault="001C287F" w:rsidP="001C287F">
      <w:pPr>
        <w:pStyle w:val="Art"/>
        <w:contextualSpacing/>
        <w:rPr>
          <w:bCs/>
          <w:sz w:val="21"/>
          <w:szCs w:val="21"/>
        </w:rPr>
      </w:pPr>
      <w:r w:rsidRPr="004C5E90">
        <w:rPr>
          <w:b/>
          <w:sz w:val="21"/>
          <w:szCs w:val="21"/>
        </w:rPr>
        <w:t>I -</w:t>
      </w:r>
      <w:r w:rsidRPr="004C5E90">
        <w:rPr>
          <w:sz w:val="21"/>
          <w:szCs w:val="21"/>
        </w:rPr>
        <w:t> </w:t>
      </w:r>
      <w:proofErr w:type="gramStart"/>
      <w:r w:rsidRPr="004C5E90">
        <w:rPr>
          <w:sz w:val="21"/>
          <w:szCs w:val="21"/>
        </w:rPr>
        <w:t>instauração</w:t>
      </w:r>
      <w:proofErr w:type="gramEnd"/>
      <w:r w:rsidRPr="004C5E90">
        <w:rPr>
          <w:sz w:val="21"/>
          <w:szCs w:val="21"/>
        </w:rPr>
        <w:t xml:space="preserve"> do processo administrativo e justificativa da hipótese de credenciamento;</w:t>
      </w:r>
    </w:p>
    <w:p w14:paraId="5375E497" w14:textId="77777777" w:rsidR="001C287F" w:rsidRPr="004C5E90" w:rsidRDefault="001C287F" w:rsidP="001C287F">
      <w:pPr>
        <w:pStyle w:val="Art"/>
        <w:contextualSpacing/>
        <w:rPr>
          <w:bCs/>
          <w:sz w:val="21"/>
          <w:szCs w:val="21"/>
        </w:rPr>
      </w:pPr>
      <w:r w:rsidRPr="004C5E90">
        <w:rPr>
          <w:b/>
          <w:sz w:val="21"/>
          <w:szCs w:val="21"/>
        </w:rPr>
        <w:lastRenderedPageBreak/>
        <w:t>II -</w:t>
      </w:r>
      <w:r w:rsidRPr="004C5E90">
        <w:rPr>
          <w:sz w:val="21"/>
          <w:szCs w:val="21"/>
        </w:rPr>
        <w:t> </w:t>
      </w:r>
      <w:proofErr w:type="gramStart"/>
      <w:r w:rsidRPr="004C5E90">
        <w:rPr>
          <w:sz w:val="21"/>
          <w:szCs w:val="21"/>
        </w:rPr>
        <w:t>elaboração e publicação</w:t>
      </w:r>
      <w:proofErr w:type="gramEnd"/>
      <w:r w:rsidRPr="004C5E90">
        <w:rPr>
          <w:sz w:val="21"/>
          <w:szCs w:val="21"/>
        </w:rPr>
        <w:t xml:space="preserve"> do edital de chamamento e anexos;</w:t>
      </w:r>
    </w:p>
    <w:p w14:paraId="6CCF64B9" w14:textId="77777777" w:rsidR="001C287F" w:rsidRPr="004C5E90" w:rsidRDefault="001C287F" w:rsidP="001C287F">
      <w:pPr>
        <w:pStyle w:val="Art"/>
        <w:contextualSpacing/>
        <w:rPr>
          <w:bCs/>
          <w:sz w:val="21"/>
          <w:szCs w:val="21"/>
        </w:rPr>
      </w:pPr>
      <w:r w:rsidRPr="004C5E90">
        <w:rPr>
          <w:b/>
          <w:sz w:val="21"/>
          <w:szCs w:val="21"/>
        </w:rPr>
        <w:t>III -</w:t>
      </w:r>
      <w:r w:rsidRPr="004C5E90">
        <w:rPr>
          <w:sz w:val="21"/>
          <w:szCs w:val="21"/>
        </w:rPr>
        <w:t> recebimento permanente das inscrições e documentos durante a vigência estabelecida em edital;</w:t>
      </w:r>
    </w:p>
    <w:p w14:paraId="6B57EE50" w14:textId="77777777" w:rsidR="001C287F" w:rsidRPr="004C5E90" w:rsidRDefault="001C287F" w:rsidP="001C287F">
      <w:pPr>
        <w:pStyle w:val="Art"/>
        <w:contextualSpacing/>
        <w:rPr>
          <w:bCs/>
          <w:sz w:val="21"/>
          <w:szCs w:val="21"/>
        </w:rPr>
      </w:pPr>
      <w:r w:rsidRPr="004C5E90">
        <w:rPr>
          <w:b/>
          <w:sz w:val="21"/>
          <w:szCs w:val="21"/>
        </w:rPr>
        <w:t>IV -</w:t>
      </w:r>
      <w:r w:rsidRPr="004C5E90">
        <w:rPr>
          <w:sz w:val="21"/>
          <w:szCs w:val="21"/>
        </w:rPr>
        <w:t> </w:t>
      </w:r>
      <w:proofErr w:type="gramStart"/>
      <w:r w:rsidRPr="004C5E90">
        <w:rPr>
          <w:sz w:val="21"/>
          <w:szCs w:val="21"/>
        </w:rPr>
        <w:t>análise</w:t>
      </w:r>
      <w:proofErr w:type="gramEnd"/>
      <w:r w:rsidRPr="004C5E90">
        <w:rPr>
          <w:sz w:val="21"/>
          <w:szCs w:val="21"/>
        </w:rPr>
        <w:t xml:space="preserve"> da habilitação e possibilidade de saneamento de falhas formais;</w:t>
      </w:r>
    </w:p>
    <w:p w14:paraId="275E5C7D" w14:textId="77777777" w:rsidR="001C287F" w:rsidRPr="004C5E90" w:rsidRDefault="001C287F" w:rsidP="001C287F">
      <w:pPr>
        <w:pStyle w:val="Art"/>
        <w:contextualSpacing/>
        <w:rPr>
          <w:bCs/>
          <w:sz w:val="21"/>
          <w:szCs w:val="21"/>
        </w:rPr>
      </w:pPr>
      <w:r w:rsidRPr="004C5E90">
        <w:rPr>
          <w:b/>
          <w:sz w:val="21"/>
          <w:szCs w:val="21"/>
        </w:rPr>
        <w:t>V -</w:t>
      </w:r>
      <w:r w:rsidRPr="004C5E90">
        <w:rPr>
          <w:sz w:val="21"/>
          <w:szCs w:val="21"/>
        </w:rPr>
        <w:t> </w:t>
      </w:r>
      <w:proofErr w:type="gramStart"/>
      <w:r w:rsidRPr="004C5E90">
        <w:rPr>
          <w:sz w:val="21"/>
          <w:szCs w:val="21"/>
        </w:rPr>
        <w:t>decisão</w:t>
      </w:r>
      <w:proofErr w:type="gramEnd"/>
      <w:r w:rsidRPr="004C5E90">
        <w:rPr>
          <w:sz w:val="21"/>
          <w:szCs w:val="21"/>
        </w:rPr>
        <w:t xml:space="preserve"> de credenciamento e publicação do resultado;</w:t>
      </w:r>
    </w:p>
    <w:p w14:paraId="6A0EF0C3" w14:textId="77777777" w:rsidR="001C287F" w:rsidRPr="004C5E90" w:rsidRDefault="001C287F" w:rsidP="001C287F">
      <w:pPr>
        <w:pStyle w:val="Art"/>
        <w:contextualSpacing/>
        <w:rPr>
          <w:bCs/>
          <w:sz w:val="21"/>
          <w:szCs w:val="21"/>
        </w:rPr>
      </w:pPr>
      <w:r w:rsidRPr="004C5E90">
        <w:rPr>
          <w:b/>
          <w:sz w:val="21"/>
          <w:szCs w:val="21"/>
        </w:rPr>
        <w:t>VI -</w:t>
      </w:r>
      <w:r w:rsidRPr="004C5E90">
        <w:rPr>
          <w:sz w:val="21"/>
          <w:szCs w:val="21"/>
        </w:rPr>
        <w:t> </w:t>
      </w:r>
      <w:proofErr w:type="gramStart"/>
      <w:r w:rsidRPr="004C5E90">
        <w:rPr>
          <w:sz w:val="21"/>
          <w:szCs w:val="21"/>
        </w:rPr>
        <w:t>assinatura</w:t>
      </w:r>
      <w:proofErr w:type="gramEnd"/>
      <w:r w:rsidRPr="004C5E90">
        <w:rPr>
          <w:sz w:val="21"/>
          <w:szCs w:val="21"/>
        </w:rPr>
        <w:t xml:space="preserve"> do termo de credenciamento ou instrumento contratual, quando cabível;</w:t>
      </w:r>
    </w:p>
    <w:p w14:paraId="5A37625F" w14:textId="77777777" w:rsidR="001C287F" w:rsidRPr="004C5E90" w:rsidRDefault="001C287F" w:rsidP="001C287F">
      <w:pPr>
        <w:pStyle w:val="Art"/>
        <w:contextualSpacing/>
        <w:rPr>
          <w:bCs/>
          <w:sz w:val="21"/>
          <w:szCs w:val="21"/>
        </w:rPr>
      </w:pPr>
      <w:r w:rsidRPr="004C5E90">
        <w:rPr>
          <w:b/>
          <w:sz w:val="21"/>
          <w:szCs w:val="21"/>
        </w:rPr>
        <w:t>VII -</w:t>
      </w:r>
      <w:r w:rsidRPr="004C5E90">
        <w:rPr>
          <w:sz w:val="21"/>
          <w:szCs w:val="21"/>
        </w:rPr>
        <w:t> convocação e execução do objeto conforme critérios do edital;</w:t>
      </w:r>
    </w:p>
    <w:p w14:paraId="19C5C82E" w14:textId="77777777" w:rsidR="001C287F" w:rsidRPr="004C5E90" w:rsidRDefault="001C287F" w:rsidP="001C287F">
      <w:pPr>
        <w:pStyle w:val="Art"/>
        <w:contextualSpacing/>
        <w:rPr>
          <w:bCs/>
          <w:sz w:val="21"/>
          <w:szCs w:val="21"/>
        </w:rPr>
      </w:pPr>
      <w:r w:rsidRPr="004C5E90">
        <w:rPr>
          <w:b/>
          <w:sz w:val="21"/>
          <w:szCs w:val="21"/>
        </w:rPr>
        <w:t>VIII -</w:t>
      </w:r>
      <w:r w:rsidRPr="004C5E90">
        <w:rPr>
          <w:sz w:val="21"/>
          <w:szCs w:val="21"/>
        </w:rPr>
        <w:t> fiscalização, recebimento, pagamento e registro de ocorrências;</w:t>
      </w:r>
    </w:p>
    <w:p w14:paraId="539D553E" w14:textId="77777777" w:rsidR="001C287F" w:rsidRPr="004C5E90" w:rsidRDefault="001C287F" w:rsidP="001C287F">
      <w:pPr>
        <w:pStyle w:val="Art"/>
        <w:contextualSpacing/>
        <w:rPr>
          <w:bCs/>
          <w:sz w:val="21"/>
          <w:szCs w:val="21"/>
        </w:rPr>
      </w:pPr>
      <w:r w:rsidRPr="004C5E90">
        <w:rPr>
          <w:b/>
          <w:sz w:val="21"/>
          <w:szCs w:val="21"/>
        </w:rPr>
        <w:t>IX -</w:t>
      </w:r>
      <w:r w:rsidRPr="004C5E90">
        <w:rPr>
          <w:sz w:val="21"/>
          <w:szCs w:val="21"/>
        </w:rPr>
        <w:t> </w:t>
      </w:r>
      <w:proofErr w:type="gramStart"/>
      <w:r w:rsidRPr="004C5E90">
        <w:rPr>
          <w:sz w:val="21"/>
          <w:szCs w:val="21"/>
        </w:rPr>
        <w:t>gestão</w:t>
      </w:r>
      <w:proofErr w:type="gramEnd"/>
      <w:r w:rsidRPr="004C5E90">
        <w:rPr>
          <w:sz w:val="21"/>
          <w:szCs w:val="21"/>
        </w:rPr>
        <w:t xml:space="preserve"> de sanções, descredenciamento e rescisão, quando for o caso.</w:t>
      </w:r>
    </w:p>
    <w:p w14:paraId="55DBFEC5" w14:textId="77777777" w:rsidR="001C287F" w:rsidRPr="004C5E90" w:rsidRDefault="001C287F" w:rsidP="001C287F">
      <w:pPr>
        <w:pStyle w:val="Art"/>
        <w:contextualSpacing/>
        <w:rPr>
          <w:bCs/>
          <w:sz w:val="21"/>
          <w:szCs w:val="21"/>
        </w:rPr>
      </w:pPr>
    </w:p>
    <w:p w14:paraId="73C99DD6" w14:textId="370F4858" w:rsidR="001C287F" w:rsidRPr="004C5E90" w:rsidRDefault="001C287F" w:rsidP="001C287F">
      <w:pPr>
        <w:pStyle w:val="Art"/>
        <w:rPr>
          <w:bCs/>
          <w:sz w:val="21"/>
          <w:szCs w:val="21"/>
        </w:rPr>
      </w:pPr>
      <w:r w:rsidRPr="004C5E90">
        <w:rPr>
          <w:b/>
          <w:sz w:val="21"/>
          <w:szCs w:val="21"/>
        </w:rPr>
        <w:t xml:space="preserve">Art. 11. </w:t>
      </w:r>
      <w:r w:rsidRPr="004C5E90">
        <w:rPr>
          <w:sz w:val="21"/>
          <w:szCs w:val="21"/>
        </w:rPr>
        <w:t xml:space="preserve">O edital preverá prazos </w:t>
      </w:r>
      <w:r w:rsidR="00DD4449" w:rsidRPr="004C5E90">
        <w:rPr>
          <w:sz w:val="21"/>
          <w:szCs w:val="21"/>
        </w:rPr>
        <w:t xml:space="preserve">e </w:t>
      </w:r>
      <w:r w:rsidRPr="004C5E90">
        <w:rPr>
          <w:sz w:val="21"/>
          <w:szCs w:val="21"/>
        </w:rPr>
        <w:t>a forma para pedidos de esclarecimento e impugnação.</w:t>
      </w:r>
    </w:p>
    <w:p w14:paraId="18B90585" w14:textId="77777777" w:rsidR="001C287F" w:rsidRPr="004C5E90" w:rsidRDefault="001C287F" w:rsidP="001C287F">
      <w:pPr>
        <w:pStyle w:val="Art"/>
        <w:rPr>
          <w:bCs/>
          <w:sz w:val="21"/>
          <w:szCs w:val="21"/>
        </w:rPr>
      </w:pPr>
      <w:r w:rsidRPr="004C5E90">
        <w:rPr>
          <w:b/>
          <w:sz w:val="21"/>
          <w:szCs w:val="21"/>
        </w:rPr>
        <w:t>Art. 12.</w:t>
      </w:r>
      <w:r w:rsidRPr="004C5E90">
        <w:rPr>
          <w:sz w:val="21"/>
          <w:szCs w:val="21"/>
        </w:rPr>
        <w:t xml:space="preserve"> Da decisão que indeferir o credenciamento caberá recurso administrativo, nos prazos e condições definidos no edital, assegurados o contraditório e a ampla defesa.</w:t>
      </w:r>
    </w:p>
    <w:p w14:paraId="0D156CA7" w14:textId="7C383601" w:rsidR="001C287F" w:rsidRPr="004C5E90" w:rsidRDefault="001C287F" w:rsidP="001C287F">
      <w:pPr>
        <w:pStyle w:val="Art"/>
        <w:rPr>
          <w:sz w:val="21"/>
          <w:szCs w:val="21"/>
        </w:rPr>
      </w:pPr>
      <w:r w:rsidRPr="004C5E90">
        <w:rPr>
          <w:b/>
          <w:sz w:val="21"/>
          <w:szCs w:val="21"/>
        </w:rPr>
        <w:t>Art. 13. </w:t>
      </w:r>
      <w:r w:rsidRPr="004C5E90">
        <w:rPr>
          <w:sz w:val="21"/>
          <w:szCs w:val="21"/>
        </w:rPr>
        <w:t xml:space="preserve">Os interessados em efetuar </w:t>
      </w:r>
      <w:r w:rsidR="00F05320" w:rsidRPr="004C5E90">
        <w:rPr>
          <w:sz w:val="21"/>
          <w:szCs w:val="21"/>
        </w:rPr>
        <w:t>c</w:t>
      </w:r>
      <w:r w:rsidRPr="004C5E90">
        <w:rPr>
          <w:sz w:val="21"/>
          <w:szCs w:val="21"/>
        </w:rPr>
        <w:t>redenciamento com a Câmara Municipal deverão entregar os documentos e cumprir todos os requisitos indicados pelo edital.</w:t>
      </w:r>
    </w:p>
    <w:p w14:paraId="09F5F207" w14:textId="5A12CA1E" w:rsidR="001C287F" w:rsidRPr="004C5E90" w:rsidRDefault="001C287F" w:rsidP="001C287F">
      <w:pPr>
        <w:pStyle w:val="Art"/>
        <w:rPr>
          <w:sz w:val="21"/>
          <w:szCs w:val="21"/>
        </w:rPr>
      </w:pPr>
      <w:r w:rsidRPr="004C5E90">
        <w:rPr>
          <w:b/>
          <w:sz w:val="21"/>
          <w:szCs w:val="21"/>
        </w:rPr>
        <w:t>Art. 14. </w:t>
      </w:r>
      <w:r w:rsidRPr="004C5E90">
        <w:rPr>
          <w:sz w:val="21"/>
          <w:szCs w:val="21"/>
        </w:rPr>
        <w:t xml:space="preserve">A documentação será devidamente verificada pelo </w:t>
      </w:r>
      <w:r w:rsidR="00D62104" w:rsidRPr="004C5E90">
        <w:rPr>
          <w:sz w:val="21"/>
          <w:szCs w:val="21"/>
        </w:rPr>
        <w:t xml:space="preserve">Agente de Contratação ou pela Comissão de Contratação </w:t>
      </w:r>
      <w:r w:rsidRPr="004C5E90">
        <w:rPr>
          <w:sz w:val="21"/>
          <w:szCs w:val="21"/>
        </w:rPr>
        <w:t>e, tudo estando regular, providenciará a formalização do Termo de Credenciamento ou Contrato.</w:t>
      </w:r>
    </w:p>
    <w:p w14:paraId="3B52A23A" w14:textId="77777777" w:rsidR="001C287F" w:rsidRPr="004C5E90" w:rsidRDefault="001C287F" w:rsidP="001C287F">
      <w:pPr>
        <w:pStyle w:val="Ttulo"/>
        <w:rPr>
          <w:sz w:val="21"/>
          <w:szCs w:val="21"/>
        </w:rPr>
      </w:pPr>
      <w:r w:rsidRPr="004C5E90">
        <w:rPr>
          <w:sz w:val="21"/>
          <w:szCs w:val="21"/>
        </w:rPr>
        <w:t xml:space="preserve">CAPÍTULO III </w:t>
      </w:r>
    </w:p>
    <w:p w14:paraId="6C2660F0" w14:textId="77777777" w:rsidR="001C287F" w:rsidRPr="004C5E90" w:rsidRDefault="001C287F" w:rsidP="001C287F">
      <w:pPr>
        <w:pStyle w:val="Ttulo"/>
        <w:rPr>
          <w:sz w:val="21"/>
          <w:szCs w:val="21"/>
        </w:rPr>
      </w:pPr>
      <w:r w:rsidRPr="004C5E90">
        <w:rPr>
          <w:sz w:val="21"/>
          <w:szCs w:val="21"/>
        </w:rPr>
        <w:t>Do Reajuste, Reequilíbrio ou Repactuação</w:t>
      </w:r>
    </w:p>
    <w:p w14:paraId="1761B72C" w14:textId="77777777" w:rsidR="001C287F" w:rsidRPr="004C5E90" w:rsidRDefault="001C287F" w:rsidP="001C287F">
      <w:pPr>
        <w:pStyle w:val="Art"/>
        <w:rPr>
          <w:sz w:val="21"/>
          <w:szCs w:val="21"/>
        </w:rPr>
      </w:pPr>
      <w:r w:rsidRPr="004C5E90">
        <w:rPr>
          <w:b/>
          <w:sz w:val="21"/>
          <w:szCs w:val="21"/>
        </w:rPr>
        <w:t>Art. 15. </w:t>
      </w:r>
      <w:r w:rsidRPr="004C5E90">
        <w:rPr>
          <w:sz w:val="21"/>
          <w:szCs w:val="21"/>
        </w:rPr>
        <w:t>Os valores poderão ser reajustados após o interregno mínimo de 12 (doze) meses, contado da data-base definida no edital, mediante aplicação do índice nele previsto, observados os critérios de atualização e a forma de divulgação aos credenciados.</w:t>
      </w:r>
    </w:p>
    <w:p w14:paraId="1ABCE0B0" w14:textId="77777777" w:rsidR="001C287F" w:rsidRPr="004C5E90" w:rsidRDefault="001C287F" w:rsidP="001C287F">
      <w:pPr>
        <w:pStyle w:val="Art"/>
        <w:rPr>
          <w:sz w:val="21"/>
          <w:szCs w:val="21"/>
        </w:rPr>
      </w:pPr>
      <w:r w:rsidRPr="004C5E90">
        <w:rPr>
          <w:b/>
          <w:sz w:val="21"/>
          <w:szCs w:val="21"/>
        </w:rPr>
        <w:t>Art. 16. </w:t>
      </w:r>
      <w:r w:rsidRPr="004C5E90">
        <w:rPr>
          <w:sz w:val="21"/>
          <w:szCs w:val="21"/>
        </w:rPr>
        <w:t xml:space="preserve">Poderá ser concedida revisão para recomposição do equilíbrio econômico-financeiro, mediante comprovação objetiva da alteração de custos por fato superveniente, aplicando-se </w:t>
      </w:r>
      <w:proofErr w:type="spellStart"/>
      <w:r w:rsidRPr="004C5E90">
        <w:rPr>
          <w:sz w:val="21"/>
          <w:szCs w:val="21"/>
        </w:rPr>
        <w:t>isonomicamente</w:t>
      </w:r>
      <w:proofErr w:type="spellEnd"/>
      <w:r w:rsidRPr="004C5E90">
        <w:rPr>
          <w:sz w:val="21"/>
          <w:szCs w:val="21"/>
        </w:rPr>
        <w:t xml:space="preserve"> a todos os credenciados que estejam submetidos às mesmas condições de execução e de custos, quando cabível. </w:t>
      </w:r>
    </w:p>
    <w:p w14:paraId="5B048146" w14:textId="77777777" w:rsidR="001C287F" w:rsidRPr="004C5E90" w:rsidRDefault="001C287F" w:rsidP="001C287F">
      <w:pPr>
        <w:pStyle w:val="Art"/>
        <w:rPr>
          <w:sz w:val="21"/>
          <w:szCs w:val="21"/>
        </w:rPr>
      </w:pPr>
      <w:r w:rsidRPr="004C5E90">
        <w:rPr>
          <w:b/>
          <w:sz w:val="21"/>
          <w:szCs w:val="21"/>
        </w:rPr>
        <w:t>Art. 17. </w:t>
      </w:r>
      <w:r w:rsidRPr="004C5E90">
        <w:rPr>
          <w:sz w:val="21"/>
          <w:szCs w:val="21"/>
        </w:rPr>
        <w:t xml:space="preserve">A repactuação poderá ocorrer nos casos de serviços contínuos em regime de dedicação exclusiva de mão de obra ou predominância da mão de obra, mediante alteração dos custos </w:t>
      </w:r>
      <w:r w:rsidRPr="004C5E90">
        <w:rPr>
          <w:sz w:val="21"/>
          <w:szCs w:val="21"/>
        </w:rPr>
        <w:lastRenderedPageBreak/>
        <w:t>praticados no mercado ou alteração de convenção coletiva, mediante demonstração analítica da variação dos custos, com planilha de composição e comprovação documental.</w:t>
      </w:r>
    </w:p>
    <w:p w14:paraId="56E04341" w14:textId="77777777" w:rsidR="001C287F" w:rsidRPr="004C5E90" w:rsidRDefault="001C287F" w:rsidP="001C287F">
      <w:pPr>
        <w:pStyle w:val="Ttulo"/>
        <w:rPr>
          <w:sz w:val="21"/>
          <w:szCs w:val="21"/>
        </w:rPr>
      </w:pPr>
      <w:r w:rsidRPr="004C5E90">
        <w:rPr>
          <w:sz w:val="21"/>
          <w:szCs w:val="21"/>
        </w:rPr>
        <w:t>CAPÍTULO IV</w:t>
      </w:r>
    </w:p>
    <w:p w14:paraId="7480F2DF" w14:textId="77777777" w:rsidR="001C287F" w:rsidRPr="004C5E90" w:rsidRDefault="001C287F" w:rsidP="001C287F">
      <w:pPr>
        <w:pStyle w:val="Ttulo"/>
        <w:rPr>
          <w:sz w:val="21"/>
          <w:szCs w:val="21"/>
        </w:rPr>
      </w:pPr>
      <w:r w:rsidRPr="004C5E90">
        <w:rPr>
          <w:sz w:val="21"/>
          <w:szCs w:val="21"/>
        </w:rPr>
        <w:t>Disposições Finais</w:t>
      </w:r>
    </w:p>
    <w:p w14:paraId="3E3C13CC" w14:textId="04D5B236" w:rsidR="00F72000" w:rsidRPr="004C5E90" w:rsidRDefault="00F72000" w:rsidP="005143DB">
      <w:pPr>
        <w:pStyle w:val="Art"/>
        <w:rPr>
          <w:sz w:val="21"/>
          <w:szCs w:val="21"/>
        </w:rPr>
      </w:pPr>
      <w:r w:rsidRPr="004C5E90">
        <w:rPr>
          <w:b/>
          <w:bCs/>
          <w:sz w:val="21"/>
          <w:szCs w:val="21"/>
        </w:rPr>
        <w:t>Art.</w:t>
      </w:r>
      <w:r w:rsidR="005143DB" w:rsidRPr="004C5E90">
        <w:rPr>
          <w:b/>
          <w:bCs/>
          <w:sz w:val="21"/>
          <w:szCs w:val="21"/>
        </w:rPr>
        <w:t> </w:t>
      </w:r>
      <w:r w:rsidR="001C287F" w:rsidRPr="004C5E90">
        <w:rPr>
          <w:b/>
          <w:bCs/>
          <w:sz w:val="21"/>
          <w:szCs w:val="21"/>
        </w:rPr>
        <w:t>18</w:t>
      </w:r>
      <w:r w:rsidR="005143DB" w:rsidRPr="004C5E90">
        <w:rPr>
          <w:sz w:val="21"/>
          <w:szCs w:val="21"/>
        </w:rPr>
        <w:t> E</w:t>
      </w:r>
      <w:r w:rsidRPr="004C5E90">
        <w:rPr>
          <w:sz w:val="21"/>
          <w:szCs w:val="21"/>
        </w:rPr>
        <w:t>sta Resolução de Mesa entra em vigor na data de sua publicação.</w:t>
      </w:r>
    </w:p>
    <w:p w14:paraId="21D05ABE" w14:textId="77777777" w:rsidR="00F72000" w:rsidRPr="004C5E90" w:rsidRDefault="00F72000" w:rsidP="00F72000">
      <w:pPr>
        <w:spacing w:after="0" w:line="360" w:lineRule="auto"/>
        <w:ind w:firstLine="1276"/>
        <w:jc w:val="both"/>
        <w:rPr>
          <w:rFonts w:asciiTheme="majorHAnsi" w:eastAsia="Times New Roman" w:hAnsiTheme="majorHAnsi" w:cstheme="majorHAnsi"/>
          <w:sz w:val="21"/>
          <w:szCs w:val="21"/>
          <w:lang w:eastAsia="pt-BR"/>
        </w:rPr>
      </w:pPr>
    </w:p>
    <w:p w14:paraId="5135F880" w14:textId="3A4C0C38" w:rsidR="00F72000" w:rsidRPr="004C5E90" w:rsidRDefault="00F72000" w:rsidP="00F72000">
      <w:pPr>
        <w:spacing w:after="0" w:line="360" w:lineRule="auto"/>
        <w:ind w:firstLine="1276"/>
        <w:jc w:val="both"/>
        <w:rPr>
          <w:rFonts w:asciiTheme="majorHAnsi" w:eastAsia="Times New Roman" w:hAnsiTheme="majorHAnsi" w:cstheme="majorHAnsi"/>
          <w:sz w:val="21"/>
          <w:szCs w:val="21"/>
          <w:lang w:eastAsia="pt-BR"/>
        </w:rPr>
      </w:pPr>
      <w:r w:rsidRPr="004C5E90">
        <w:rPr>
          <w:rFonts w:asciiTheme="majorHAnsi" w:eastAsia="Times New Roman" w:hAnsiTheme="majorHAnsi" w:cstheme="majorHAnsi"/>
          <w:sz w:val="21"/>
          <w:szCs w:val="21"/>
          <w:lang w:eastAsia="pt-BR"/>
        </w:rPr>
        <w:t xml:space="preserve">Anta Gorda, RS, </w:t>
      </w:r>
      <w:sdt>
        <w:sdtPr>
          <w:rPr>
            <w:rFonts w:asciiTheme="majorHAnsi" w:eastAsia="Times New Roman" w:hAnsiTheme="majorHAnsi" w:cstheme="majorHAnsi"/>
            <w:sz w:val="21"/>
            <w:szCs w:val="21"/>
            <w:lang w:eastAsia="pt-BR"/>
          </w:rPr>
          <w:id w:val="1731659908"/>
          <w:placeholder>
            <w:docPart w:val="D6FBF16FF90142D9933711D3DA4F5116"/>
          </w:placeholder>
        </w:sdtPr>
        <w:sdtEndPr/>
        <w:sdtContent>
          <w:r w:rsidR="00D84CE7">
            <w:rPr>
              <w:rFonts w:asciiTheme="majorHAnsi" w:eastAsia="Times New Roman" w:hAnsiTheme="majorHAnsi" w:cstheme="majorHAnsi"/>
              <w:sz w:val="21"/>
              <w:szCs w:val="21"/>
              <w:lang w:eastAsia="pt-BR"/>
            </w:rPr>
            <w:t>06</w:t>
          </w:r>
        </w:sdtContent>
      </w:sdt>
      <w:r w:rsidR="007E3890" w:rsidRPr="004C5E90">
        <w:rPr>
          <w:rFonts w:asciiTheme="majorHAnsi" w:eastAsia="Times New Roman" w:hAnsiTheme="majorHAnsi" w:cstheme="majorHAnsi"/>
          <w:sz w:val="21"/>
          <w:szCs w:val="21"/>
          <w:lang w:eastAsia="pt-BR"/>
        </w:rPr>
        <w:t xml:space="preserve"> </w:t>
      </w:r>
      <w:r w:rsidRPr="004C5E90">
        <w:rPr>
          <w:rFonts w:asciiTheme="majorHAnsi" w:eastAsia="Times New Roman" w:hAnsiTheme="majorHAnsi" w:cstheme="majorHAnsi"/>
          <w:sz w:val="21"/>
          <w:szCs w:val="21"/>
          <w:lang w:eastAsia="pt-BR"/>
        </w:rPr>
        <w:t xml:space="preserve">de </w:t>
      </w:r>
      <w:sdt>
        <w:sdtPr>
          <w:rPr>
            <w:rFonts w:asciiTheme="majorHAnsi" w:eastAsia="Times New Roman" w:hAnsiTheme="majorHAnsi" w:cstheme="majorHAnsi"/>
            <w:sz w:val="21"/>
            <w:szCs w:val="21"/>
            <w:lang w:eastAsia="pt-BR"/>
          </w:rPr>
          <w:id w:val="-1156145877"/>
          <w:placeholder>
            <w:docPart w:val="7747F12470F84B5F8E017A3E3DDAAB45"/>
          </w:placeholder>
        </w:sdtPr>
        <w:sdtEndPr/>
        <w:sdtContent>
          <w:r w:rsidR="00D84CE7">
            <w:rPr>
              <w:rFonts w:asciiTheme="majorHAnsi" w:eastAsia="Times New Roman" w:hAnsiTheme="majorHAnsi" w:cstheme="majorHAnsi"/>
              <w:sz w:val="21"/>
              <w:szCs w:val="21"/>
              <w:lang w:eastAsia="pt-BR"/>
            </w:rPr>
            <w:t>abril</w:t>
          </w:r>
          <w:bookmarkStart w:id="0" w:name="_GoBack"/>
          <w:bookmarkEnd w:id="0"/>
        </w:sdtContent>
      </w:sdt>
      <w:r w:rsidR="007E3890" w:rsidRPr="004C5E90">
        <w:rPr>
          <w:rFonts w:asciiTheme="majorHAnsi" w:eastAsia="Times New Roman" w:hAnsiTheme="majorHAnsi" w:cstheme="majorHAnsi"/>
          <w:sz w:val="21"/>
          <w:szCs w:val="21"/>
          <w:lang w:eastAsia="pt-BR"/>
        </w:rPr>
        <w:t xml:space="preserve"> </w:t>
      </w:r>
      <w:r w:rsidRPr="004C5E90">
        <w:rPr>
          <w:rFonts w:asciiTheme="majorHAnsi" w:eastAsia="Times New Roman" w:hAnsiTheme="majorHAnsi" w:cstheme="majorHAnsi"/>
          <w:sz w:val="21"/>
          <w:szCs w:val="21"/>
          <w:lang w:eastAsia="pt-BR"/>
        </w:rPr>
        <w:t>de 2026.</w:t>
      </w:r>
    </w:p>
    <w:p w14:paraId="1E8B194C" w14:textId="77777777" w:rsidR="00F72000" w:rsidRPr="004C5E90" w:rsidRDefault="00F72000" w:rsidP="00F72000">
      <w:pPr>
        <w:spacing w:after="0" w:line="360" w:lineRule="auto"/>
        <w:jc w:val="both"/>
        <w:rPr>
          <w:rFonts w:asciiTheme="majorHAnsi" w:eastAsia="Times New Roman" w:hAnsiTheme="majorHAnsi" w:cstheme="majorHAnsi"/>
          <w:sz w:val="21"/>
          <w:szCs w:val="21"/>
          <w:lang w:eastAsia="pt-BR"/>
        </w:rPr>
      </w:pPr>
    </w:p>
    <w:p w14:paraId="5956476F" w14:textId="77777777" w:rsidR="00F72000" w:rsidRPr="004C5E90" w:rsidRDefault="00F72000" w:rsidP="00F72000">
      <w:pPr>
        <w:spacing w:after="0" w:line="360" w:lineRule="auto"/>
        <w:jc w:val="both"/>
        <w:rPr>
          <w:rFonts w:asciiTheme="majorHAnsi" w:eastAsia="Times New Roman" w:hAnsiTheme="majorHAnsi" w:cstheme="majorHAnsi"/>
          <w:b/>
          <w:sz w:val="21"/>
          <w:szCs w:val="21"/>
          <w:lang w:eastAsia="pt-BR"/>
        </w:rPr>
      </w:pPr>
    </w:p>
    <w:p w14:paraId="5DFF4A75" w14:textId="77777777" w:rsidR="00F72000" w:rsidRPr="004C5E90" w:rsidRDefault="00F72000" w:rsidP="00F72000">
      <w:pPr>
        <w:spacing w:after="0" w:line="360" w:lineRule="auto"/>
        <w:jc w:val="center"/>
        <w:rPr>
          <w:rFonts w:asciiTheme="majorHAnsi" w:eastAsia="Times New Roman" w:hAnsiTheme="majorHAnsi" w:cstheme="majorHAnsi"/>
          <w:b/>
          <w:sz w:val="21"/>
          <w:szCs w:val="21"/>
          <w:lang w:eastAsia="pt-BR"/>
        </w:rPr>
      </w:pPr>
      <w:r w:rsidRPr="004C5E90">
        <w:rPr>
          <w:rFonts w:asciiTheme="majorHAnsi" w:eastAsia="Times New Roman" w:hAnsiTheme="majorHAnsi" w:cstheme="majorHAnsi"/>
          <w:b/>
          <w:sz w:val="21"/>
          <w:szCs w:val="21"/>
          <w:lang w:eastAsia="pt-BR"/>
        </w:rPr>
        <w:t>FERNANDO LOCATELLI</w:t>
      </w:r>
      <w:r w:rsidRPr="004C5E90">
        <w:rPr>
          <w:rFonts w:asciiTheme="majorHAnsi" w:eastAsia="Times New Roman" w:hAnsiTheme="majorHAnsi" w:cstheme="majorHAnsi"/>
          <w:b/>
          <w:sz w:val="21"/>
          <w:szCs w:val="21"/>
          <w:lang w:eastAsia="pt-BR"/>
        </w:rPr>
        <w:br/>
        <w:t>Presidente</w:t>
      </w:r>
    </w:p>
    <w:p w14:paraId="25D8623E" w14:textId="77777777" w:rsidR="00F72000" w:rsidRPr="004C5E90" w:rsidRDefault="00F72000" w:rsidP="00F72000">
      <w:pPr>
        <w:spacing w:after="0" w:line="360" w:lineRule="auto"/>
        <w:jc w:val="center"/>
        <w:rPr>
          <w:rFonts w:asciiTheme="majorHAnsi" w:eastAsia="Times New Roman" w:hAnsiTheme="majorHAnsi" w:cstheme="majorHAnsi"/>
          <w:b/>
          <w:sz w:val="21"/>
          <w:szCs w:val="21"/>
          <w:lang w:eastAsia="pt-BR"/>
        </w:rPr>
      </w:pPr>
    </w:p>
    <w:p w14:paraId="793DA209" w14:textId="77777777" w:rsidR="00F72000" w:rsidRPr="004C5E90" w:rsidRDefault="00F72000" w:rsidP="00F72000">
      <w:pPr>
        <w:spacing w:after="0" w:line="360" w:lineRule="auto"/>
        <w:jc w:val="center"/>
        <w:rPr>
          <w:rFonts w:asciiTheme="majorHAnsi" w:eastAsia="Times New Roman" w:hAnsiTheme="majorHAnsi" w:cstheme="majorHAnsi"/>
          <w:b/>
          <w:sz w:val="21"/>
          <w:szCs w:val="21"/>
          <w:lang w:eastAsia="pt-BR"/>
        </w:rPr>
      </w:pPr>
    </w:p>
    <w:p w14:paraId="4C7E3857" w14:textId="77777777" w:rsidR="00F72000" w:rsidRPr="004C5E90" w:rsidRDefault="00F72000" w:rsidP="00F72000">
      <w:pPr>
        <w:spacing w:after="0" w:line="360" w:lineRule="auto"/>
        <w:jc w:val="center"/>
        <w:rPr>
          <w:rFonts w:asciiTheme="majorHAnsi" w:eastAsia="Times New Roman" w:hAnsiTheme="majorHAnsi" w:cstheme="majorHAnsi"/>
          <w:b/>
          <w:sz w:val="21"/>
          <w:szCs w:val="21"/>
          <w:lang w:eastAsia="pt-BR"/>
        </w:rPr>
      </w:pPr>
      <w:r w:rsidRPr="004C5E90">
        <w:rPr>
          <w:rFonts w:asciiTheme="majorHAnsi" w:eastAsia="Times New Roman" w:hAnsiTheme="majorHAnsi" w:cstheme="majorHAnsi"/>
          <w:b/>
          <w:sz w:val="21"/>
          <w:szCs w:val="21"/>
          <w:lang w:eastAsia="pt-BR"/>
        </w:rPr>
        <w:t>CIRIO FRANCISCO DE FREITAS</w:t>
      </w:r>
      <w:r w:rsidRPr="004C5E90">
        <w:rPr>
          <w:rFonts w:asciiTheme="majorHAnsi" w:eastAsia="Times New Roman" w:hAnsiTheme="majorHAnsi" w:cstheme="majorHAnsi"/>
          <w:b/>
          <w:sz w:val="21"/>
          <w:szCs w:val="21"/>
          <w:lang w:eastAsia="pt-BR"/>
        </w:rPr>
        <w:br/>
        <w:t>Vice-Presidente</w:t>
      </w:r>
    </w:p>
    <w:p w14:paraId="2144523A" w14:textId="77777777" w:rsidR="00F72000" w:rsidRPr="004C5E90" w:rsidRDefault="00F72000" w:rsidP="00F72000">
      <w:pPr>
        <w:spacing w:after="0" w:line="360" w:lineRule="auto"/>
        <w:jc w:val="center"/>
        <w:rPr>
          <w:rFonts w:asciiTheme="majorHAnsi" w:eastAsia="Times New Roman" w:hAnsiTheme="majorHAnsi" w:cstheme="majorHAnsi"/>
          <w:b/>
          <w:sz w:val="21"/>
          <w:szCs w:val="21"/>
          <w:lang w:eastAsia="pt-BR"/>
        </w:rPr>
      </w:pPr>
    </w:p>
    <w:p w14:paraId="55132EC5" w14:textId="77777777" w:rsidR="00F72000" w:rsidRPr="004C5E90" w:rsidRDefault="00F72000" w:rsidP="00F72000">
      <w:pPr>
        <w:spacing w:after="0" w:line="360" w:lineRule="auto"/>
        <w:jc w:val="center"/>
        <w:rPr>
          <w:rFonts w:asciiTheme="majorHAnsi" w:eastAsia="Times New Roman" w:hAnsiTheme="majorHAnsi" w:cstheme="majorHAnsi"/>
          <w:b/>
          <w:sz w:val="21"/>
          <w:szCs w:val="21"/>
          <w:lang w:eastAsia="pt-BR"/>
        </w:rPr>
      </w:pPr>
    </w:p>
    <w:p w14:paraId="5BF62224" w14:textId="77777777" w:rsidR="00F72000" w:rsidRPr="004C5E90" w:rsidRDefault="00F72000" w:rsidP="00F72000">
      <w:pPr>
        <w:spacing w:after="0" w:line="360" w:lineRule="auto"/>
        <w:jc w:val="center"/>
        <w:rPr>
          <w:rFonts w:asciiTheme="majorHAnsi" w:eastAsia="Times New Roman" w:hAnsiTheme="majorHAnsi" w:cstheme="majorHAnsi"/>
          <w:b/>
          <w:sz w:val="21"/>
          <w:szCs w:val="21"/>
          <w:lang w:eastAsia="pt-BR"/>
        </w:rPr>
      </w:pPr>
      <w:r w:rsidRPr="004C5E90">
        <w:rPr>
          <w:rFonts w:asciiTheme="majorHAnsi" w:eastAsia="Times New Roman" w:hAnsiTheme="majorHAnsi" w:cstheme="majorHAnsi"/>
          <w:b/>
          <w:sz w:val="21"/>
          <w:szCs w:val="21"/>
          <w:lang w:eastAsia="pt-BR"/>
        </w:rPr>
        <w:t>PAULO CESAR BETTONI</w:t>
      </w:r>
      <w:r w:rsidRPr="004C5E90">
        <w:rPr>
          <w:rFonts w:asciiTheme="majorHAnsi" w:eastAsia="Times New Roman" w:hAnsiTheme="majorHAnsi" w:cstheme="majorHAnsi"/>
          <w:b/>
          <w:sz w:val="21"/>
          <w:szCs w:val="21"/>
          <w:lang w:eastAsia="pt-BR"/>
        </w:rPr>
        <w:br/>
        <w:t>1º Secretário</w:t>
      </w:r>
    </w:p>
    <w:p w14:paraId="0C88B279" w14:textId="77777777" w:rsidR="00F72000" w:rsidRPr="004C5E90" w:rsidRDefault="00F72000" w:rsidP="00F72000">
      <w:pPr>
        <w:spacing w:after="0" w:line="360" w:lineRule="auto"/>
        <w:jc w:val="center"/>
        <w:rPr>
          <w:rFonts w:asciiTheme="majorHAnsi" w:eastAsia="Times New Roman" w:hAnsiTheme="majorHAnsi" w:cstheme="majorHAnsi"/>
          <w:b/>
          <w:sz w:val="21"/>
          <w:szCs w:val="21"/>
          <w:lang w:eastAsia="pt-BR"/>
        </w:rPr>
      </w:pPr>
    </w:p>
    <w:p w14:paraId="733374F1" w14:textId="77777777" w:rsidR="00F72000" w:rsidRPr="004C5E90" w:rsidRDefault="00F72000" w:rsidP="00F72000">
      <w:pPr>
        <w:spacing w:after="0" w:line="360" w:lineRule="auto"/>
        <w:jc w:val="center"/>
        <w:rPr>
          <w:rFonts w:asciiTheme="majorHAnsi" w:eastAsia="Times New Roman" w:hAnsiTheme="majorHAnsi" w:cstheme="majorHAnsi"/>
          <w:b/>
          <w:sz w:val="21"/>
          <w:szCs w:val="21"/>
          <w:lang w:eastAsia="pt-BR"/>
        </w:rPr>
      </w:pPr>
    </w:p>
    <w:p w14:paraId="181A291B" w14:textId="77777777" w:rsidR="00F72000" w:rsidRPr="004C5E90" w:rsidRDefault="00F72000" w:rsidP="00F72000">
      <w:pPr>
        <w:spacing w:after="0" w:line="360" w:lineRule="auto"/>
        <w:jc w:val="center"/>
        <w:rPr>
          <w:rFonts w:asciiTheme="majorHAnsi" w:eastAsia="Times New Roman" w:hAnsiTheme="majorHAnsi" w:cstheme="majorHAnsi"/>
          <w:b/>
          <w:sz w:val="21"/>
          <w:szCs w:val="21"/>
          <w:lang w:eastAsia="pt-BR"/>
        </w:rPr>
      </w:pPr>
      <w:r w:rsidRPr="004C5E90">
        <w:rPr>
          <w:rFonts w:asciiTheme="majorHAnsi" w:eastAsia="Times New Roman" w:hAnsiTheme="majorHAnsi" w:cstheme="majorHAnsi"/>
          <w:b/>
          <w:sz w:val="21"/>
          <w:szCs w:val="21"/>
          <w:lang w:eastAsia="pt-BR"/>
        </w:rPr>
        <w:t>CLEONIR GUARNIERI</w:t>
      </w:r>
      <w:r w:rsidRPr="004C5E90">
        <w:rPr>
          <w:rFonts w:asciiTheme="majorHAnsi" w:eastAsia="Times New Roman" w:hAnsiTheme="majorHAnsi" w:cstheme="majorHAnsi"/>
          <w:b/>
          <w:sz w:val="21"/>
          <w:szCs w:val="21"/>
          <w:lang w:eastAsia="pt-BR"/>
        </w:rPr>
        <w:br/>
        <w:t>2º Secretário</w:t>
      </w:r>
    </w:p>
    <w:p w14:paraId="3EA7A57C" w14:textId="77777777" w:rsidR="00D54D13" w:rsidRPr="004C5E90" w:rsidRDefault="00D54D13" w:rsidP="00F72000">
      <w:pPr>
        <w:spacing w:after="0" w:line="360" w:lineRule="auto"/>
        <w:jc w:val="center"/>
        <w:rPr>
          <w:rFonts w:asciiTheme="majorHAnsi" w:hAnsiTheme="majorHAnsi" w:cstheme="majorHAnsi"/>
          <w:sz w:val="21"/>
          <w:szCs w:val="21"/>
        </w:rPr>
      </w:pPr>
    </w:p>
    <w:sectPr w:rsidR="00D54D13" w:rsidRPr="004C5E90" w:rsidSect="00F72000"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000"/>
    <w:rsid w:val="0002409A"/>
    <w:rsid w:val="00194638"/>
    <w:rsid w:val="001C287F"/>
    <w:rsid w:val="004C5E90"/>
    <w:rsid w:val="005143DB"/>
    <w:rsid w:val="0056311F"/>
    <w:rsid w:val="00575D5F"/>
    <w:rsid w:val="007E3890"/>
    <w:rsid w:val="00921546"/>
    <w:rsid w:val="009D231F"/>
    <w:rsid w:val="00A11B58"/>
    <w:rsid w:val="00B378CC"/>
    <w:rsid w:val="00C65295"/>
    <w:rsid w:val="00D1667F"/>
    <w:rsid w:val="00D54D13"/>
    <w:rsid w:val="00D62104"/>
    <w:rsid w:val="00D84CE7"/>
    <w:rsid w:val="00DC3659"/>
    <w:rsid w:val="00DD4449"/>
    <w:rsid w:val="00F05320"/>
    <w:rsid w:val="00F6105A"/>
    <w:rsid w:val="00F7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C7C46"/>
  <w15:chartTrackingRefBased/>
  <w15:docId w15:val="{310BFF43-15FB-4C5A-9737-1EC8EEC59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Ttulo"/>
    <w:next w:val="Normal"/>
    <w:link w:val="Ttulo1Char"/>
    <w:uiPriority w:val="9"/>
    <w:qFormat/>
    <w:rsid w:val="009D231F"/>
    <w:pPr>
      <w:spacing w:before="0"/>
      <w:ind w:firstLine="0"/>
      <w:jc w:val="center"/>
      <w:outlineLvl w:val="0"/>
    </w:pPr>
  </w:style>
  <w:style w:type="paragraph" w:styleId="Ttulo2">
    <w:name w:val="heading 2"/>
    <w:basedOn w:val="Normal"/>
    <w:link w:val="Ttulo2Char"/>
    <w:uiPriority w:val="9"/>
    <w:qFormat/>
    <w:rsid w:val="00F720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7200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72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7200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20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2000"/>
    <w:rPr>
      <w:rFonts w:ascii="Segoe UI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7E3890"/>
    <w:rPr>
      <w:color w:val="666666"/>
    </w:rPr>
  </w:style>
  <w:style w:type="paragraph" w:styleId="PargrafodaLista">
    <w:name w:val="List Paragraph"/>
    <w:basedOn w:val="Normal"/>
    <w:uiPriority w:val="34"/>
    <w:qFormat/>
    <w:rsid w:val="009D231F"/>
    <w:pPr>
      <w:spacing w:after="0" w:line="360" w:lineRule="auto"/>
      <w:ind w:firstLine="1276"/>
      <w:jc w:val="both"/>
    </w:pPr>
    <w:rPr>
      <w:rFonts w:asciiTheme="majorHAnsi" w:eastAsia="Times New Roman" w:hAnsiTheme="majorHAnsi" w:cstheme="majorHAnsi"/>
      <w:bCs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194638"/>
    <w:pPr>
      <w:keepNext/>
      <w:spacing w:before="200" w:after="0" w:line="360" w:lineRule="auto"/>
      <w:ind w:firstLine="1276"/>
      <w:contextualSpacing/>
      <w:jc w:val="both"/>
    </w:pPr>
    <w:rPr>
      <w:rFonts w:asciiTheme="majorHAnsi" w:eastAsia="Times New Roman" w:hAnsiTheme="majorHAnsi" w:cstheme="majorHAnsi"/>
      <w:b/>
      <w:caps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194638"/>
    <w:rPr>
      <w:rFonts w:asciiTheme="majorHAnsi" w:eastAsia="Times New Roman" w:hAnsiTheme="majorHAnsi" w:cstheme="majorHAnsi"/>
      <w:b/>
      <w:caps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9D231F"/>
    <w:rPr>
      <w:rFonts w:asciiTheme="majorHAnsi" w:eastAsia="Times New Roman" w:hAnsiTheme="majorHAnsi" w:cstheme="majorHAnsi"/>
      <w:b/>
      <w:lang w:eastAsia="pt-BR"/>
    </w:rPr>
  </w:style>
  <w:style w:type="paragraph" w:styleId="Subttulo">
    <w:name w:val="Subtitle"/>
    <w:basedOn w:val="Ttulo"/>
    <w:next w:val="Normal"/>
    <w:link w:val="SubttuloChar"/>
    <w:uiPriority w:val="11"/>
    <w:qFormat/>
    <w:rsid w:val="009D231F"/>
    <w:pPr>
      <w:spacing w:before="0"/>
      <w:ind w:firstLine="0"/>
      <w:jc w:val="center"/>
    </w:pPr>
  </w:style>
  <w:style w:type="character" w:customStyle="1" w:styleId="SubttuloChar">
    <w:name w:val="Subtítulo Char"/>
    <w:basedOn w:val="Fontepargpadro"/>
    <w:link w:val="Subttulo"/>
    <w:uiPriority w:val="11"/>
    <w:rsid w:val="009D231F"/>
    <w:rPr>
      <w:rFonts w:asciiTheme="majorHAnsi" w:eastAsia="Times New Roman" w:hAnsiTheme="majorHAnsi" w:cstheme="majorHAnsi"/>
      <w:b/>
      <w:lang w:eastAsia="pt-BR"/>
    </w:rPr>
  </w:style>
  <w:style w:type="paragraph" w:customStyle="1" w:styleId="Art">
    <w:name w:val="Art."/>
    <w:basedOn w:val="Normal"/>
    <w:qFormat/>
    <w:rsid w:val="005143DB"/>
    <w:pPr>
      <w:spacing w:after="0" w:line="360" w:lineRule="auto"/>
      <w:ind w:firstLine="1276"/>
      <w:jc w:val="both"/>
    </w:pPr>
    <w:rPr>
      <w:rFonts w:asciiTheme="majorHAnsi" w:eastAsia="Times New Roman" w:hAnsiTheme="majorHAnsi" w:cstheme="majorHAnsi"/>
      <w:lang w:eastAsia="pt-BR"/>
    </w:rPr>
  </w:style>
  <w:style w:type="paragraph" w:customStyle="1" w:styleId="Estilo1">
    <w:name w:val="Estilo1"/>
    <w:basedOn w:val="Art"/>
    <w:qFormat/>
    <w:rsid w:val="0002409A"/>
  </w:style>
  <w:style w:type="paragraph" w:customStyle="1" w:styleId="Estilo2">
    <w:name w:val="Estilo2"/>
    <w:basedOn w:val="Art"/>
    <w:qFormat/>
    <w:rsid w:val="00024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1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6FBF16FF90142D9933711D3DA4F51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D382B6-E48C-4724-B059-C5F30F259D36}"/>
      </w:docPartPr>
      <w:docPartBody>
        <w:p w:rsidR="00894CD3" w:rsidRDefault="00495E03" w:rsidP="00495E03">
          <w:pPr>
            <w:pStyle w:val="D6FBF16FF90142D9933711D3DA4F5116"/>
          </w:pPr>
          <w:r>
            <w:rPr>
              <w:rStyle w:val="TextodoEspaoReservado"/>
              <w:color w:val="FF0000"/>
            </w:rPr>
            <w:t>[…]</w:t>
          </w:r>
        </w:p>
      </w:docPartBody>
    </w:docPart>
    <w:docPart>
      <w:docPartPr>
        <w:name w:val="7747F12470F84B5F8E017A3E3DDAAB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64D2E3-C725-4D66-9AF6-1F53EE299628}"/>
      </w:docPartPr>
      <w:docPartBody>
        <w:p w:rsidR="00894CD3" w:rsidRDefault="00495E03" w:rsidP="00495E03">
          <w:pPr>
            <w:pStyle w:val="7747F12470F84B5F8E017A3E3DDAAB45"/>
          </w:pPr>
          <w:r>
            <w:rPr>
              <w:rStyle w:val="TextodoEspaoReservado"/>
              <w:color w:val="FF0000"/>
            </w:rPr>
            <w:t>[…]</w:t>
          </w:r>
        </w:p>
      </w:docPartBody>
    </w:docPart>
    <w:docPart>
      <w:docPartPr>
        <w:name w:val="5AD4F4178D454899A9227478369A81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FD03C6-7248-48C0-A8E7-88A5A59389A3}"/>
      </w:docPartPr>
      <w:docPartBody>
        <w:p w:rsidR="002E1891" w:rsidRDefault="00894CD3" w:rsidP="00894CD3">
          <w:pPr>
            <w:pStyle w:val="5AD4F4178D454899A9227478369A8166"/>
          </w:pPr>
          <w:r>
            <w:rPr>
              <w:rStyle w:val="TextodoEspaoReservado"/>
              <w:color w:val="FF0000"/>
            </w:rPr>
            <w:t>[…]</w:t>
          </w:r>
        </w:p>
      </w:docPartBody>
    </w:docPart>
    <w:docPart>
      <w:docPartPr>
        <w:name w:val="9F70A31503324020B606C083923011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C00652-830B-49DE-9330-9789075AA4C8}"/>
      </w:docPartPr>
      <w:docPartBody>
        <w:p w:rsidR="002E1891" w:rsidRDefault="00894CD3" w:rsidP="00894CD3">
          <w:pPr>
            <w:pStyle w:val="9F70A31503324020B606C083923011F4"/>
          </w:pPr>
          <w:r>
            <w:rPr>
              <w:rStyle w:val="TextodoEspaoReservado"/>
              <w:color w:val="FF0000"/>
            </w:rPr>
            <w:t>[…]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E03"/>
    <w:rsid w:val="000E5FDA"/>
    <w:rsid w:val="002E1891"/>
    <w:rsid w:val="00340453"/>
    <w:rsid w:val="00495E03"/>
    <w:rsid w:val="0056311F"/>
    <w:rsid w:val="00575D5F"/>
    <w:rsid w:val="00894CD3"/>
    <w:rsid w:val="008B59A0"/>
    <w:rsid w:val="00A11B58"/>
    <w:rsid w:val="00A908EE"/>
    <w:rsid w:val="00D1667F"/>
    <w:rsid w:val="00F6105A"/>
    <w:rsid w:val="00F73436"/>
    <w:rsid w:val="00FB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94CD3"/>
    <w:rPr>
      <w:color w:val="666666"/>
    </w:rPr>
  </w:style>
  <w:style w:type="paragraph" w:customStyle="1" w:styleId="D6FBF16FF90142D9933711D3DA4F5116">
    <w:name w:val="D6FBF16FF90142D9933711D3DA4F5116"/>
    <w:rsid w:val="00495E0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747F12470F84B5F8E017A3E3DDAAB45">
    <w:name w:val="7747F12470F84B5F8E017A3E3DDAAB45"/>
    <w:rsid w:val="00495E03"/>
  </w:style>
  <w:style w:type="paragraph" w:customStyle="1" w:styleId="5AD4F4178D454899A9227478369A8166">
    <w:name w:val="5AD4F4178D454899A9227478369A8166"/>
    <w:rsid w:val="00894CD3"/>
  </w:style>
  <w:style w:type="paragraph" w:customStyle="1" w:styleId="9F70A31503324020B606C083923011F4">
    <w:name w:val="9F70A31503324020B606C083923011F4"/>
    <w:rsid w:val="00894C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pixelsPerInch w:val="120"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932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Servidor</dc:creator>
  <cp:keywords/>
  <dc:description/>
  <cp:lastModifiedBy>Servidor</cp:lastModifiedBy>
  <cp:revision>3</cp:revision>
  <cp:lastPrinted>2026-04-10T00:12:00Z</cp:lastPrinted>
  <dcterms:created xsi:type="dcterms:W3CDTF">2026-03-23T18:56:00Z</dcterms:created>
  <dcterms:modified xsi:type="dcterms:W3CDTF">2026-04-10T00:14:00Z</dcterms:modified>
</cp:coreProperties>
</file>