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63AFFFB4" w:rsidR="00F72000" w:rsidRPr="00F86094" w:rsidRDefault="00F72000" w:rsidP="0002409A">
      <w:pPr>
        <w:pStyle w:val="Subttulo"/>
        <w:spacing w:after="400"/>
        <w:rPr>
          <w:szCs w:val="20"/>
        </w:rPr>
      </w:pPr>
      <w:r w:rsidRPr="00F86094">
        <w:rPr>
          <w:szCs w:val="20"/>
        </w:rPr>
        <w:t xml:space="preserve">RESOLUÇÃO DE MESA Nº </w:t>
      </w:r>
      <w:sdt>
        <w:sdtPr>
          <w:rPr>
            <w:szCs w:val="20"/>
          </w:rPr>
          <w:id w:val="-1206636280"/>
          <w:placeholder>
            <w:docPart w:val="5AD4F4178D454899A9227478369A8166"/>
          </w:placeholder>
        </w:sdtPr>
        <w:sdtEndPr/>
        <w:sdtContent>
          <w:r w:rsidR="00F86094" w:rsidRPr="00F86094">
            <w:rPr>
              <w:szCs w:val="20"/>
            </w:rPr>
            <w:t>01</w:t>
          </w:r>
          <w:r w:rsidR="004D0BA1">
            <w:rPr>
              <w:szCs w:val="20"/>
            </w:rPr>
            <w:t>2</w:t>
          </w:r>
        </w:sdtContent>
      </w:sdt>
      <w:r w:rsidRPr="00F86094">
        <w:rPr>
          <w:szCs w:val="20"/>
        </w:rPr>
        <w:t>/</w:t>
      </w:r>
      <w:sdt>
        <w:sdtPr>
          <w:rPr>
            <w:szCs w:val="20"/>
          </w:rPr>
          <w:id w:val="58759453"/>
          <w:placeholder>
            <w:docPart w:val="9F70A31503324020B606C083923011F4"/>
          </w:placeholder>
        </w:sdtPr>
        <w:sdtEndPr/>
        <w:sdtContent>
          <w:r w:rsidR="00F86094" w:rsidRPr="00F86094">
            <w:rPr>
              <w:szCs w:val="20"/>
            </w:rPr>
            <w:t>2026</w:t>
          </w:r>
        </w:sdtContent>
      </w:sdt>
    </w:p>
    <w:p w14:paraId="6DCE37DE" w14:textId="5E8C9DDF" w:rsidR="00F72000" w:rsidRPr="00F86094" w:rsidRDefault="00F14F94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</w:pPr>
      <w:r w:rsidRPr="00F86094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 xml:space="preserve">Regulamenta a formalização eletrônica de Contratos Administrativos, Atas de Registro de Preços, Aditivos, Supressões, Apostilamentos e instrumentos correlatos, nos termos da Lei Federal nº 14.133/2021, de 1º de abril de 2021, no âmbito da Câmara Municipal de Vereadores de Anta </w:t>
      </w:r>
      <w:proofErr w:type="spellStart"/>
      <w:r w:rsidRPr="00F86094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Gorda-RS</w:t>
      </w:r>
      <w:proofErr w:type="spellEnd"/>
      <w:r w:rsidR="00C65295" w:rsidRPr="00F86094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.</w:t>
      </w:r>
    </w:p>
    <w:p w14:paraId="1B42422D" w14:textId="77777777" w:rsidR="00F72000" w:rsidRPr="00F86094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7F17C02" w14:textId="77777777" w:rsidR="00F72000" w:rsidRPr="00F86094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A MESA DIRETORA DA CÂMARA MUNICIPAL DE VEREADORES DE ANTA GORDA</w:t>
      </w:r>
      <w:r w:rsidRPr="00F86094">
        <w:rPr>
          <w:rFonts w:asciiTheme="majorHAnsi" w:eastAsia="Times New Roman" w:hAnsiTheme="majorHAnsi" w:cstheme="majorHAnsi"/>
          <w:sz w:val="20"/>
          <w:szCs w:val="20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1ABE0A1B" w14:textId="77777777" w:rsidR="00F72000" w:rsidRPr="00F86094" w:rsidRDefault="00F72000" w:rsidP="0002409A">
      <w:pPr>
        <w:pStyle w:val="Ttulo"/>
        <w:contextualSpacing w:val="0"/>
        <w:rPr>
          <w:sz w:val="20"/>
          <w:szCs w:val="20"/>
        </w:rPr>
      </w:pPr>
      <w:r w:rsidRPr="00F86094">
        <w:rPr>
          <w:sz w:val="20"/>
          <w:szCs w:val="20"/>
        </w:rPr>
        <w:t>RESOLVE:</w:t>
      </w:r>
    </w:p>
    <w:p w14:paraId="2048547E" w14:textId="77777777" w:rsidR="00F14F94" w:rsidRPr="00F86094" w:rsidRDefault="00F14F94" w:rsidP="00F14F94">
      <w:pPr>
        <w:pStyle w:val="Ttulo"/>
        <w:contextualSpacing w:val="0"/>
        <w:rPr>
          <w:sz w:val="20"/>
          <w:szCs w:val="20"/>
        </w:rPr>
      </w:pPr>
      <w:r w:rsidRPr="00F86094">
        <w:rPr>
          <w:sz w:val="20"/>
          <w:szCs w:val="20"/>
        </w:rPr>
        <w:t>CAPÍTULO I</w:t>
      </w:r>
    </w:p>
    <w:p w14:paraId="11DE210B" w14:textId="77777777" w:rsidR="00F14F94" w:rsidRPr="00F86094" w:rsidRDefault="00F14F94" w:rsidP="00F14F94">
      <w:pPr>
        <w:pStyle w:val="Ttulo"/>
        <w:rPr>
          <w:sz w:val="20"/>
          <w:szCs w:val="20"/>
        </w:rPr>
      </w:pPr>
      <w:r w:rsidRPr="00F86094">
        <w:rPr>
          <w:sz w:val="20"/>
          <w:szCs w:val="20"/>
        </w:rPr>
        <w:t>DO Objeto e Âmbito de Aplicação</w:t>
      </w:r>
    </w:p>
    <w:p w14:paraId="11A6707A" w14:textId="1B46BD9A" w:rsidR="00F14F94" w:rsidRPr="00F86094" w:rsidRDefault="00F14F94" w:rsidP="00F14F94">
      <w:pPr>
        <w:pStyle w:val="Art"/>
        <w:rPr>
          <w:sz w:val="20"/>
          <w:szCs w:val="20"/>
        </w:rPr>
      </w:pPr>
      <w:r w:rsidRPr="00F86094">
        <w:rPr>
          <w:b/>
          <w:sz w:val="20"/>
          <w:szCs w:val="20"/>
        </w:rPr>
        <w:t>Art. 1º </w:t>
      </w:r>
      <w:r w:rsidRPr="00F86094">
        <w:rPr>
          <w:sz w:val="20"/>
          <w:szCs w:val="20"/>
        </w:rPr>
        <w:t>Esta Resolução regulamenta, no âmbito da Câmara Municipal, a formalização em meio eletrônico, mediante assinatura eletrônica, dos seguintes instrumentos:</w:t>
      </w:r>
    </w:p>
    <w:p w14:paraId="3935A4C1" w14:textId="77777777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I –</w:t>
      </w:r>
      <w:r w:rsidRPr="00F86094">
        <w:rPr>
          <w:sz w:val="20"/>
          <w:szCs w:val="20"/>
        </w:rPr>
        <w:t xml:space="preserve"> </w:t>
      </w:r>
      <w:proofErr w:type="gramStart"/>
      <w:r w:rsidRPr="00F86094">
        <w:rPr>
          <w:sz w:val="20"/>
          <w:szCs w:val="20"/>
        </w:rPr>
        <w:t>contratos</w:t>
      </w:r>
      <w:proofErr w:type="gramEnd"/>
      <w:r w:rsidRPr="00F86094">
        <w:rPr>
          <w:sz w:val="20"/>
          <w:szCs w:val="20"/>
        </w:rPr>
        <w:t xml:space="preserve"> administrativos e seus anexos;</w:t>
      </w:r>
    </w:p>
    <w:p w14:paraId="59FE4EF0" w14:textId="77777777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II –</w:t>
      </w:r>
      <w:r w:rsidRPr="00F86094">
        <w:rPr>
          <w:sz w:val="20"/>
          <w:szCs w:val="20"/>
        </w:rPr>
        <w:t xml:space="preserve"> </w:t>
      </w:r>
      <w:proofErr w:type="gramStart"/>
      <w:r w:rsidRPr="00F86094">
        <w:rPr>
          <w:sz w:val="20"/>
          <w:szCs w:val="20"/>
        </w:rPr>
        <w:t>atas</w:t>
      </w:r>
      <w:proofErr w:type="gramEnd"/>
      <w:r w:rsidRPr="00F86094">
        <w:rPr>
          <w:sz w:val="20"/>
          <w:szCs w:val="20"/>
        </w:rPr>
        <w:t xml:space="preserve"> de registros de preços;</w:t>
      </w:r>
    </w:p>
    <w:p w14:paraId="0C272A54" w14:textId="77777777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III –</w:t>
      </w:r>
      <w:r w:rsidRPr="00F86094">
        <w:rPr>
          <w:sz w:val="20"/>
          <w:szCs w:val="20"/>
        </w:rPr>
        <w:t xml:space="preserve"> termos aditivos, inclusive de prorrogação e reajuste/revisão, quando cabíveis;</w:t>
      </w:r>
    </w:p>
    <w:p w14:paraId="558F8386" w14:textId="77777777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IV –</w:t>
      </w:r>
      <w:r w:rsidRPr="00F86094">
        <w:rPr>
          <w:sz w:val="20"/>
          <w:szCs w:val="20"/>
        </w:rPr>
        <w:t xml:space="preserve"> </w:t>
      </w:r>
      <w:proofErr w:type="gramStart"/>
      <w:r w:rsidRPr="00F86094">
        <w:rPr>
          <w:sz w:val="20"/>
          <w:szCs w:val="20"/>
        </w:rPr>
        <w:t>termos</w:t>
      </w:r>
      <w:proofErr w:type="gramEnd"/>
      <w:r w:rsidRPr="00F86094">
        <w:rPr>
          <w:sz w:val="20"/>
          <w:szCs w:val="20"/>
        </w:rPr>
        <w:t xml:space="preserve"> de apostilamento;</w:t>
      </w:r>
    </w:p>
    <w:p w14:paraId="7DB58F8E" w14:textId="77777777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V –</w:t>
      </w:r>
      <w:r w:rsidRPr="00F86094">
        <w:rPr>
          <w:sz w:val="20"/>
          <w:szCs w:val="20"/>
        </w:rPr>
        <w:t xml:space="preserve"> </w:t>
      </w:r>
      <w:proofErr w:type="gramStart"/>
      <w:r w:rsidRPr="00F86094">
        <w:rPr>
          <w:sz w:val="20"/>
          <w:szCs w:val="20"/>
        </w:rPr>
        <w:t>termos</w:t>
      </w:r>
      <w:proofErr w:type="gramEnd"/>
      <w:r w:rsidRPr="00F86094">
        <w:rPr>
          <w:sz w:val="20"/>
          <w:szCs w:val="20"/>
        </w:rPr>
        <w:t xml:space="preserve"> de supressão, acréscimo e demais instrumentos correlatos. </w:t>
      </w:r>
    </w:p>
    <w:p w14:paraId="39513FA9" w14:textId="77777777" w:rsidR="00F14F94" w:rsidRPr="00F86094" w:rsidRDefault="00F14F94" w:rsidP="00F14F94">
      <w:pPr>
        <w:pStyle w:val="Art"/>
        <w:contextualSpacing/>
        <w:rPr>
          <w:sz w:val="20"/>
          <w:szCs w:val="20"/>
        </w:rPr>
      </w:pPr>
    </w:p>
    <w:p w14:paraId="7D0400A5" w14:textId="4835CA55" w:rsidR="00F14F94" w:rsidRPr="00F86094" w:rsidRDefault="00F14F94" w:rsidP="00F14F94">
      <w:pPr>
        <w:pStyle w:val="Art"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 xml:space="preserve">Art. 2º </w:t>
      </w:r>
      <w:r w:rsidRPr="00F86094">
        <w:rPr>
          <w:sz w:val="20"/>
          <w:szCs w:val="20"/>
        </w:rPr>
        <w:t xml:space="preserve">Os instrumentos de que trata esta Resolução terão forma escrita </w:t>
      </w:r>
      <w:r w:rsidR="00D37303" w:rsidRPr="00F86094">
        <w:rPr>
          <w:sz w:val="20"/>
          <w:szCs w:val="20"/>
        </w:rPr>
        <w:t>e</w:t>
      </w:r>
      <w:r w:rsidR="00D37303" w:rsidRPr="00F86094">
        <w:rPr>
          <w:strike/>
          <w:sz w:val="20"/>
          <w:szCs w:val="20"/>
        </w:rPr>
        <w:t xml:space="preserve"> </w:t>
      </w:r>
      <w:r w:rsidR="007B2BE9" w:rsidRPr="00F86094">
        <w:rPr>
          <w:sz w:val="20"/>
          <w:szCs w:val="20"/>
        </w:rPr>
        <w:t>formalizados preferencialmente em meio eletrônico ou digital,</w:t>
      </w:r>
      <w:r w:rsidRPr="00F86094">
        <w:rPr>
          <w:sz w:val="20"/>
          <w:szCs w:val="20"/>
        </w:rPr>
        <w:t xml:space="preserve"> sendo juntados ao processo administrativo que lhes deu origem e permanecerão disponíveis para verificação, controle e fiscalização, observado o dever de publicidade e as hipóteses legais de sigilo.</w:t>
      </w:r>
    </w:p>
    <w:p w14:paraId="1D99BA5F" w14:textId="77777777" w:rsidR="00F14F94" w:rsidRPr="00F86094" w:rsidRDefault="00F14F94" w:rsidP="00F14F94">
      <w:pPr>
        <w:pStyle w:val="Ttulo"/>
        <w:rPr>
          <w:sz w:val="20"/>
          <w:szCs w:val="20"/>
        </w:rPr>
      </w:pPr>
      <w:r w:rsidRPr="00F86094">
        <w:rPr>
          <w:sz w:val="20"/>
          <w:szCs w:val="20"/>
        </w:rPr>
        <w:t>CAPÍTULO II</w:t>
      </w:r>
    </w:p>
    <w:p w14:paraId="2D8F8EE0" w14:textId="77777777" w:rsidR="00F14F94" w:rsidRPr="00F86094" w:rsidRDefault="00F14F94" w:rsidP="00F14F94">
      <w:pPr>
        <w:pStyle w:val="Ttulo"/>
        <w:rPr>
          <w:sz w:val="20"/>
          <w:szCs w:val="20"/>
        </w:rPr>
      </w:pPr>
      <w:r w:rsidRPr="00F86094">
        <w:rPr>
          <w:sz w:val="20"/>
          <w:szCs w:val="20"/>
        </w:rPr>
        <w:t xml:space="preserve">DAS ASSINATURAS ELETRÔNICAS E REQUISITOS MÍNIMOS </w:t>
      </w:r>
    </w:p>
    <w:p w14:paraId="77690256" w14:textId="43FE7BCF" w:rsidR="00F14F94" w:rsidRPr="00F86094" w:rsidRDefault="00F14F94" w:rsidP="00F14F94">
      <w:pPr>
        <w:pStyle w:val="Art"/>
        <w:contextualSpacing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>Art. 3º</w:t>
      </w:r>
      <w:r w:rsidRPr="00F86094">
        <w:rPr>
          <w:sz w:val="20"/>
          <w:szCs w:val="20"/>
        </w:rPr>
        <w:t xml:space="preserve"> A assinatura dos instrumentos previstos no artigo 1º será realizada, preferencialmente, por assinatura eletrônica qualificada, com certificado digital no padrão ICP-Brasil, emitido em nome do signatário.</w:t>
      </w:r>
    </w:p>
    <w:p w14:paraId="0E55507F" w14:textId="77777777" w:rsidR="00F14F94" w:rsidRPr="00F86094" w:rsidRDefault="00F14F94" w:rsidP="00F14F94">
      <w:pPr>
        <w:pStyle w:val="Art"/>
        <w:rPr>
          <w:sz w:val="20"/>
          <w:szCs w:val="20"/>
        </w:rPr>
      </w:pPr>
      <w:r w:rsidRPr="00F86094">
        <w:rPr>
          <w:b/>
          <w:sz w:val="20"/>
          <w:szCs w:val="20"/>
        </w:rPr>
        <w:lastRenderedPageBreak/>
        <w:t>§ 1º</w:t>
      </w:r>
      <w:r w:rsidRPr="00F86094">
        <w:rPr>
          <w:sz w:val="20"/>
          <w:szCs w:val="20"/>
        </w:rPr>
        <w:t> O certificado digital deverá estar vinculado ao representante legal ou agente público competente para o ato, com poderes formais para assinatura, inclusive por delegação, quando houver.</w:t>
      </w:r>
    </w:p>
    <w:p w14:paraId="79FDCC95" w14:textId="09C93496" w:rsidR="00F14F94" w:rsidRPr="00F86094" w:rsidRDefault="00F14F94" w:rsidP="00F14F94">
      <w:pPr>
        <w:pStyle w:val="Art"/>
        <w:rPr>
          <w:sz w:val="20"/>
          <w:szCs w:val="20"/>
        </w:rPr>
      </w:pPr>
      <w:r w:rsidRPr="00F86094">
        <w:rPr>
          <w:b/>
          <w:sz w:val="20"/>
          <w:szCs w:val="20"/>
        </w:rPr>
        <w:t>§ 2º</w:t>
      </w:r>
      <w:r w:rsidRPr="00F86094">
        <w:rPr>
          <w:sz w:val="20"/>
          <w:szCs w:val="20"/>
        </w:rPr>
        <w:t xml:space="preserve"> A </w:t>
      </w:r>
      <w:r w:rsidR="00D37303" w:rsidRPr="00F86094">
        <w:rPr>
          <w:sz w:val="20"/>
          <w:szCs w:val="20"/>
        </w:rPr>
        <w:t>Câmara Municipal</w:t>
      </w:r>
      <w:r w:rsidRPr="00F86094">
        <w:rPr>
          <w:sz w:val="20"/>
          <w:szCs w:val="20"/>
        </w:rPr>
        <w:t xml:space="preserve"> deverá adotar mecanismos que permitam a verificação da autenticidade, a integridade do documento e a rastreabilidade do ato de assinatura (trilha de auditoria), assegurando a confiabilidade do documento eletrônico.</w:t>
      </w:r>
    </w:p>
    <w:p w14:paraId="189E7607" w14:textId="519327CF" w:rsidR="00F14F94" w:rsidRPr="00F86094" w:rsidRDefault="00F14F94" w:rsidP="00F14F94">
      <w:pPr>
        <w:pStyle w:val="Art"/>
        <w:rPr>
          <w:b/>
          <w:bCs/>
          <w:i/>
          <w:iCs/>
          <w:color w:val="FF0000"/>
          <w:sz w:val="20"/>
          <w:szCs w:val="20"/>
        </w:rPr>
      </w:pPr>
      <w:r w:rsidRPr="00F86094">
        <w:rPr>
          <w:b/>
          <w:sz w:val="20"/>
          <w:szCs w:val="20"/>
        </w:rPr>
        <w:t>Art. 4º</w:t>
      </w:r>
      <w:r w:rsidRPr="00F86094">
        <w:rPr>
          <w:sz w:val="20"/>
          <w:szCs w:val="20"/>
        </w:rPr>
        <w:t> Na impossibilidade de utilização de certificado ICP-Brasil por qualquer das partes, poderá ser admitida a assinatura por meio da plataforma GOV.BR, em nível de segurança compatível com o ato</w:t>
      </w:r>
      <w:r w:rsidR="00DF10A9" w:rsidRPr="00F86094">
        <w:rPr>
          <w:sz w:val="20"/>
          <w:szCs w:val="20"/>
        </w:rPr>
        <w:t xml:space="preserve"> (prata ou ouro)</w:t>
      </w:r>
      <w:r w:rsidRPr="00F86094">
        <w:rPr>
          <w:sz w:val="20"/>
          <w:szCs w:val="20"/>
        </w:rPr>
        <w:t xml:space="preserve">, ou, ainda, assinatura eletrônica </w:t>
      </w:r>
      <w:r w:rsidR="00D37303" w:rsidRPr="00F86094">
        <w:rPr>
          <w:sz w:val="20"/>
          <w:szCs w:val="20"/>
        </w:rPr>
        <w:t xml:space="preserve">que possa ser </w:t>
      </w:r>
      <w:r w:rsidRPr="00F86094">
        <w:rPr>
          <w:sz w:val="20"/>
          <w:szCs w:val="20"/>
        </w:rPr>
        <w:t>adotada por plataforma digital própria d</w:t>
      </w:r>
      <w:r w:rsidR="00372CDB" w:rsidRPr="00F86094">
        <w:rPr>
          <w:sz w:val="20"/>
          <w:szCs w:val="20"/>
        </w:rPr>
        <w:t>a Câmara Municipal</w:t>
      </w:r>
      <w:r w:rsidRPr="00F86094">
        <w:rPr>
          <w:sz w:val="20"/>
          <w:szCs w:val="20"/>
        </w:rPr>
        <w:t>, observado</w:t>
      </w:r>
      <w:r w:rsidR="00D37303" w:rsidRPr="00F86094">
        <w:rPr>
          <w:sz w:val="20"/>
          <w:szCs w:val="20"/>
        </w:rPr>
        <w:t>:</w:t>
      </w:r>
    </w:p>
    <w:p w14:paraId="1222B4CD" w14:textId="00A26587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I –</w:t>
      </w:r>
      <w:r w:rsidRPr="00F86094">
        <w:rPr>
          <w:sz w:val="20"/>
          <w:szCs w:val="20"/>
        </w:rPr>
        <w:t> </w:t>
      </w:r>
      <w:proofErr w:type="gramStart"/>
      <w:r w:rsidRPr="00F86094">
        <w:rPr>
          <w:sz w:val="20"/>
          <w:szCs w:val="20"/>
        </w:rPr>
        <w:t>a</w:t>
      </w:r>
      <w:proofErr w:type="gramEnd"/>
      <w:r w:rsidRPr="00F86094">
        <w:rPr>
          <w:sz w:val="20"/>
          <w:szCs w:val="20"/>
        </w:rPr>
        <w:t xml:space="preserve"> identificação inequívoca do signatário;</w:t>
      </w:r>
    </w:p>
    <w:p w14:paraId="587ED02C" w14:textId="3A063F88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II – </w:t>
      </w:r>
      <w:proofErr w:type="gramStart"/>
      <w:r w:rsidRPr="00F86094">
        <w:rPr>
          <w:sz w:val="20"/>
          <w:szCs w:val="20"/>
        </w:rPr>
        <w:t>a</w:t>
      </w:r>
      <w:proofErr w:type="gramEnd"/>
      <w:r w:rsidRPr="00F86094">
        <w:rPr>
          <w:sz w:val="20"/>
          <w:szCs w:val="20"/>
        </w:rPr>
        <w:t xml:space="preserve"> possibilidade de validação posterior do documento e do registro de assinatura;</w:t>
      </w:r>
    </w:p>
    <w:p w14:paraId="14050E90" w14:textId="53D57409" w:rsidR="00F14F94" w:rsidRPr="00F86094" w:rsidRDefault="00F14F94" w:rsidP="00F14F94">
      <w:pPr>
        <w:pStyle w:val="Art"/>
        <w:contextualSpacing/>
        <w:rPr>
          <w:sz w:val="20"/>
          <w:szCs w:val="20"/>
        </w:rPr>
      </w:pPr>
      <w:r w:rsidRPr="00F86094">
        <w:rPr>
          <w:b/>
          <w:sz w:val="20"/>
          <w:szCs w:val="20"/>
        </w:rPr>
        <w:t>III –</w:t>
      </w:r>
      <w:r w:rsidRPr="00F86094">
        <w:rPr>
          <w:sz w:val="20"/>
          <w:szCs w:val="20"/>
        </w:rPr>
        <w:t> a</w:t>
      </w:r>
      <w:r w:rsidR="00372CDB" w:rsidRPr="00F86094">
        <w:rPr>
          <w:sz w:val="20"/>
          <w:szCs w:val="20"/>
        </w:rPr>
        <w:t xml:space="preserve"> </w:t>
      </w:r>
      <w:r w:rsidRPr="00F86094">
        <w:rPr>
          <w:sz w:val="20"/>
          <w:szCs w:val="20"/>
        </w:rPr>
        <w:t>juntada, no processo, do comprovante/relatório de assinatura ou equivalente.</w:t>
      </w:r>
    </w:p>
    <w:p w14:paraId="764B13F4" w14:textId="77777777" w:rsidR="00F14F94" w:rsidRPr="00F86094" w:rsidRDefault="00F14F94" w:rsidP="00F14F94">
      <w:pPr>
        <w:pStyle w:val="Art"/>
        <w:rPr>
          <w:sz w:val="20"/>
          <w:szCs w:val="20"/>
        </w:rPr>
      </w:pPr>
      <w:r w:rsidRPr="00F86094">
        <w:rPr>
          <w:b/>
          <w:sz w:val="20"/>
          <w:szCs w:val="20"/>
        </w:rPr>
        <w:t>Art. 5º</w:t>
      </w:r>
      <w:r w:rsidRPr="00F86094">
        <w:rPr>
          <w:sz w:val="20"/>
          <w:szCs w:val="20"/>
        </w:rPr>
        <w:t> Os demais documentos produzidos no âmbito do processo licitatório ou de contratação direta (tais como Requisição, ETP, TR, editais, mapas, pesquisas de preços, pareceres, relatórios, despachos, atestos e documentos correlatos), poderão ser assinados eletronicamente, conforme a natureza do ato e a responsabilidade do signatário.</w:t>
      </w:r>
    </w:p>
    <w:p w14:paraId="39495F31" w14:textId="77777777" w:rsidR="00F14F94" w:rsidRPr="00F86094" w:rsidRDefault="00F14F94" w:rsidP="00F14F94">
      <w:pPr>
        <w:pStyle w:val="Ttulo"/>
        <w:rPr>
          <w:sz w:val="20"/>
          <w:szCs w:val="20"/>
        </w:rPr>
      </w:pPr>
      <w:r w:rsidRPr="00F86094">
        <w:rPr>
          <w:sz w:val="20"/>
          <w:szCs w:val="20"/>
        </w:rPr>
        <w:t>CAPÍTULO III</w:t>
      </w:r>
    </w:p>
    <w:p w14:paraId="4ED5B5D7" w14:textId="77777777" w:rsidR="00F14F94" w:rsidRPr="00F86094" w:rsidRDefault="00F14F94" w:rsidP="00F14F94">
      <w:pPr>
        <w:pStyle w:val="Ttulo"/>
        <w:rPr>
          <w:sz w:val="20"/>
          <w:szCs w:val="20"/>
        </w:rPr>
      </w:pPr>
      <w:r w:rsidRPr="00F86094">
        <w:rPr>
          <w:sz w:val="20"/>
          <w:szCs w:val="20"/>
        </w:rPr>
        <w:t>DA GUARDA, PUBLICIDADE E VERIFICAÇÃO</w:t>
      </w:r>
    </w:p>
    <w:p w14:paraId="77ADC72D" w14:textId="77777777" w:rsidR="00F14F94" w:rsidRPr="00F86094" w:rsidRDefault="00F14F94" w:rsidP="00F14F94">
      <w:pPr>
        <w:pStyle w:val="Art"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>Art. 6º</w:t>
      </w:r>
      <w:r w:rsidRPr="00F86094">
        <w:rPr>
          <w:sz w:val="20"/>
          <w:szCs w:val="20"/>
        </w:rPr>
        <w:t xml:space="preserve"> Os documentos assinados eletronicamente deverão ser arquivados em meio digital de forma a preservar sua integridade, com controle de versões, histórico de alterações e acesso restrito quando houver hipótese legal de sigilo, observadas as normas de proteção de dados aplicáveis.</w:t>
      </w:r>
    </w:p>
    <w:p w14:paraId="60BF13E3" w14:textId="3D9417DE" w:rsidR="00F14F94" w:rsidRPr="00F86094" w:rsidRDefault="00F14F94" w:rsidP="00F14F94">
      <w:pPr>
        <w:pStyle w:val="Art"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>Art. 7º</w:t>
      </w:r>
      <w:r w:rsidRPr="00F86094">
        <w:rPr>
          <w:sz w:val="20"/>
          <w:szCs w:val="20"/>
        </w:rPr>
        <w:t xml:space="preserve"> Os instrumentos contratuais e seus aditamentos, após assinados, deverão ser divulgados e mantidos à disposição do público no sítio eletrônico oficial da</w:t>
      </w:r>
      <w:r w:rsidRPr="00F8609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F86094">
        <w:rPr>
          <w:sz w:val="20"/>
          <w:szCs w:val="20"/>
        </w:rPr>
        <w:t>Câmara Municipal e nos demais canais legalmente exigidos, observado o prazo e a forma previstos na legislação aplicável.</w:t>
      </w:r>
    </w:p>
    <w:p w14:paraId="1D6AE620" w14:textId="77777777" w:rsidR="00F14F94" w:rsidRPr="00F86094" w:rsidRDefault="00F14F94" w:rsidP="00F14F94">
      <w:pPr>
        <w:pStyle w:val="Art"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>Art. 8º</w:t>
      </w:r>
      <w:r w:rsidRPr="00F86094">
        <w:rPr>
          <w:sz w:val="20"/>
          <w:szCs w:val="20"/>
        </w:rPr>
        <w:t xml:space="preserve"> Compete ao setor responsável pela gestão do processo de contratação assegurar:</w:t>
      </w:r>
    </w:p>
    <w:p w14:paraId="290B1A5D" w14:textId="6A4640B5" w:rsidR="00F14F94" w:rsidRPr="00F86094" w:rsidRDefault="00F14F94" w:rsidP="00F14F94">
      <w:pPr>
        <w:pStyle w:val="Art"/>
        <w:contextualSpacing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>I –</w:t>
      </w:r>
      <w:r w:rsidRPr="00F86094">
        <w:rPr>
          <w:sz w:val="20"/>
          <w:szCs w:val="20"/>
        </w:rPr>
        <w:t> </w:t>
      </w:r>
      <w:proofErr w:type="gramStart"/>
      <w:r w:rsidRPr="00F86094">
        <w:rPr>
          <w:sz w:val="20"/>
          <w:szCs w:val="20"/>
        </w:rPr>
        <w:t>a</w:t>
      </w:r>
      <w:proofErr w:type="gramEnd"/>
      <w:r w:rsidRPr="00F86094">
        <w:rPr>
          <w:sz w:val="20"/>
          <w:szCs w:val="20"/>
        </w:rPr>
        <w:t xml:space="preserve"> juntada do instrumento eletrônico e dos comprovantes de assinatura ao processo;</w:t>
      </w:r>
    </w:p>
    <w:p w14:paraId="29FF393A" w14:textId="78B0B6A2" w:rsidR="00F14F94" w:rsidRPr="00F86094" w:rsidRDefault="00F14F94" w:rsidP="00F14F94">
      <w:pPr>
        <w:pStyle w:val="Art"/>
        <w:contextualSpacing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>II – </w:t>
      </w:r>
      <w:proofErr w:type="gramStart"/>
      <w:r w:rsidRPr="00F86094">
        <w:rPr>
          <w:sz w:val="20"/>
          <w:szCs w:val="20"/>
        </w:rPr>
        <w:t>a</w:t>
      </w:r>
      <w:proofErr w:type="gramEnd"/>
      <w:r w:rsidRPr="00F86094">
        <w:rPr>
          <w:sz w:val="20"/>
          <w:szCs w:val="20"/>
        </w:rPr>
        <w:t xml:space="preserve"> conferência formal dos poderes de representação/competência do signatário; e</w:t>
      </w:r>
    </w:p>
    <w:p w14:paraId="3F433EF0" w14:textId="3C807F44" w:rsidR="00F14F94" w:rsidRPr="00F86094" w:rsidRDefault="00F14F94" w:rsidP="00F14F94">
      <w:pPr>
        <w:pStyle w:val="Art"/>
        <w:contextualSpacing/>
        <w:rPr>
          <w:bCs/>
          <w:sz w:val="20"/>
          <w:szCs w:val="20"/>
        </w:rPr>
      </w:pPr>
      <w:r w:rsidRPr="00F86094">
        <w:rPr>
          <w:b/>
          <w:sz w:val="20"/>
          <w:szCs w:val="20"/>
        </w:rPr>
        <w:t>III –</w:t>
      </w:r>
      <w:r w:rsidRPr="00F86094">
        <w:rPr>
          <w:sz w:val="20"/>
          <w:szCs w:val="20"/>
        </w:rPr>
        <w:t> a preservação da documentação comprobatória de autenticidade e integridade.</w:t>
      </w:r>
    </w:p>
    <w:p w14:paraId="11D24100" w14:textId="77777777" w:rsidR="00F14F94" w:rsidRPr="00F86094" w:rsidRDefault="00F14F94" w:rsidP="00F14F94">
      <w:pPr>
        <w:pStyle w:val="Ttulo"/>
        <w:rPr>
          <w:sz w:val="20"/>
          <w:szCs w:val="20"/>
        </w:rPr>
      </w:pPr>
      <w:r w:rsidRPr="00F86094">
        <w:rPr>
          <w:sz w:val="20"/>
          <w:szCs w:val="20"/>
        </w:rPr>
        <w:t>CAPÍTULO IV</w:t>
      </w:r>
    </w:p>
    <w:p w14:paraId="4A145F3C" w14:textId="77777777" w:rsidR="00F14F94" w:rsidRPr="00F86094" w:rsidRDefault="00F14F94" w:rsidP="00F14F94">
      <w:pPr>
        <w:pStyle w:val="Ttulo"/>
        <w:rPr>
          <w:sz w:val="20"/>
          <w:szCs w:val="20"/>
        </w:rPr>
      </w:pPr>
      <w:r w:rsidRPr="00F86094">
        <w:rPr>
          <w:sz w:val="20"/>
          <w:szCs w:val="20"/>
        </w:rPr>
        <w:t>DISPOSIÇÕES FINAIS</w:t>
      </w:r>
    </w:p>
    <w:p w14:paraId="0A967085" w14:textId="77777777" w:rsidR="00F14F94" w:rsidRPr="00F86094" w:rsidRDefault="00F14F94" w:rsidP="00F14F94">
      <w:pPr>
        <w:pStyle w:val="Art"/>
        <w:rPr>
          <w:sz w:val="20"/>
          <w:szCs w:val="20"/>
        </w:rPr>
      </w:pPr>
      <w:r w:rsidRPr="00F86094">
        <w:rPr>
          <w:b/>
          <w:sz w:val="20"/>
          <w:szCs w:val="20"/>
        </w:rPr>
        <w:t>Art. 9º</w:t>
      </w:r>
      <w:r w:rsidRPr="00F86094">
        <w:rPr>
          <w:sz w:val="20"/>
          <w:szCs w:val="20"/>
        </w:rPr>
        <w:t xml:space="preserve"> Os casos omissos serão resolvidos pela autoridade competente, observadas as normas gerais da Lei Federal nº 14.133/2021 e os princípios aplicáveis às contratações públicas. </w:t>
      </w:r>
    </w:p>
    <w:p w14:paraId="3E3C13CC" w14:textId="426E2902" w:rsidR="00F72000" w:rsidRPr="00F86094" w:rsidRDefault="00F72000" w:rsidP="005143DB">
      <w:pPr>
        <w:pStyle w:val="Art"/>
        <w:rPr>
          <w:sz w:val="20"/>
          <w:szCs w:val="20"/>
        </w:rPr>
      </w:pPr>
      <w:r w:rsidRPr="00F86094">
        <w:rPr>
          <w:b/>
          <w:bCs/>
          <w:sz w:val="20"/>
          <w:szCs w:val="20"/>
        </w:rPr>
        <w:t>Art.</w:t>
      </w:r>
      <w:r w:rsidR="005143DB" w:rsidRPr="00F86094">
        <w:rPr>
          <w:b/>
          <w:bCs/>
          <w:sz w:val="20"/>
          <w:szCs w:val="20"/>
        </w:rPr>
        <w:t> </w:t>
      </w:r>
      <w:r w:rsidR="00F14F94" w:rsidRPr="00F86094">
        <w:rPr>
          <w:b/>
          <w:bCs/>
          <w:sz w:val="20"/>
          <w:szCs w:val="20"/>
        </w:rPr>
        <w:t>10</w:t>
      </w:r>
      <w:r w:rsidR="007B2BE9" w:rsidRPr="00F86094">
        <w:rPr>
          <w:b/>
          <w:bCs/>
          <w:sz w:val="20"/>
          <w:szCs w:val="20"/>
        </w:rPr>
        <w:t>.</w:t>
      </w:r>
      <w:r w:rsidR="005143DB" w:rsidRPr="00F86094">
        <w:rPr>
          <w:sz w:val="20"/>
          <w:szCs w:val="20"/>
        </w:rPr>
        <w:t> E</w:t>
      </w:r>
      <w:r w:rsidRPr="00F86094">
        <w:rPr>
          <w:sz w:val="20"/>
          <w:szCs w:val="20"/>
        </w:rPr>
        <w:t>sta Resolução de Mesa entra em vigor na data de sua publicação.</w:t>
      </w:r>
    </w:p>
    <w:p w14:paraId="21D05ABE" w14:textId="77777777" w:rsidR="00F72000" w:rsidRPr="00F86094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135F880" w14:textId="408DCE83" w:rsidR="00F72000" w:rsidRPr="00F86094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F86094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4D0BA1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10</w:t>
          </w:r>
        </w:sdtContent>
      </w:sdt>
      <w:r w:rsidR="007E3890" w:rsidRPr="00F86094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F86094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4D0BA1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abril</w:t>
          </w:r>
          <w:bookmarkStart w:id="0" w:name="_GoBack"/>
          <w:bookmarkEnd w:id="0"/>
        </w:sdtContent>
      </w:sdt>
      <w:r w:rsidR="007E3890" w:rsidRPr="00F86094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F86094">
        <w:rPr>
          <w:rFonts w:asciiTheme="majorHAnsi" w:eastAsia="Times New Roman" w:hAnsiTheme="majorHAnsi" w:cstheme="majorHAnsi"/>
          <w:sz w:val="20"/>
          <w:szCs w:val="20"/>
          <w:lang w:eastAsia="pt-BR"/>
        </w:rPr>
        <w:t>de 2026.</w:t>
      </w:r>
    </w:p>
    <w:p w14:paraId="1E8B194C" w14:textId="77777777" w:rsidR="00F72000" w:rsidRPr="00F86094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956476F" w14:textId="77777777" w:rsidR="00F72000" w:rsidRPr="00F86094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DFF4A75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FERNANDO LOCATELLI</w:t>
      </w: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Presidente</w:t>
      </w:r>
    </w:p>
    <w:p w14:paraId="25D8623E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93DA209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4C7E3857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CIRIO FRANCISCO DE FREITAS</w:t>
      </w: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Vice-Presidente</w:t>
      </w:r>
    </w:p>
    <w:p w14:paraId="2144523A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5132EC5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BF62224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PAULO CESAR BETTONI</w:t>
      </w: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1º Secretário</w:t>
      </w:r>
    </w:p>
    <w:p w14:paraId="0C88B279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33374F1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181A291B" w14:textId="77777777" w:rsidR="00F72000" w:rsidRPr="00F86094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CLEONIR GUARNIERI</w:t>
      </w:r>
      <w:r w:rsidRPr="00F86094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2º Secretário</w:t>
      </w:r>
    </w:p>
    <w:p w14:paraId="3EA7A57C" w14:textId="77777777" w:rsidR="00D54D13" w:rsidRPr="00F86094" w:rsidRDefault="00D54D13" w:rsidP="00F72000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D54D13" w:rsidRPr="00F86094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409A"/>
    <w:rsid w:val="00147D01"/>
    <w:rsid w:val="00194638"/>
    <w:rsid w:val="00372CDB"/>
    <w:rsid w:val="004D0BA1"/>
    <w:rsid w:val="005143DB"/>
    <w:rsid w:val="0056311F"/>
    <w:rsid w:val="00575D5F"/>
    <w:rsid w:val="006324BB"/>
    <w:rsid w:val="007A0B77"/>
    <w:rsid w:val="007B2BE9"/>
    <w:rsid w:val="007E3890"/>
    <w:rsid w:val="00921546"/>
    <w:rsid w:val="009D231F"/>
    <w:rsid w:val="00A11B58"/>
    <w:rsid w:val="00C65295"/>
    <w:rsid w:val="00D37303"/>
    <w:rsid w:val="00D54D13"/>
    <w:rsid w:val="00DC3659"/>
    <w:rsid w:val="00DE5E62"/>
    <w:rsid w:val="00DF10A9"/>
    <w:rsid w:val="00F14F94"/>
    <w:rsid w:val="00F6105A"/>
    <w:rsid w:val="00F72000"/>
    <w:rsid w:val="00F8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94638"/>
    <w:pPr>
      <w:keepNext/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194638"/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2E1891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2E1891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147D01"/>
    <w:rsid w:val="002E1891"/>
    <w:rsid w:val="00340453"/>
    <w:rsid w:val="00495E03"/>
    <w:rsid w:val="0056311F"/>
    <w:rsid w:val="00575D5F"/>
    <w:rsid w:val="0086588A"/>
    <w:rsid w:val="00894CD3"/>
    <w:rsid w:val="008B59A0"/>
    <w:rsid w:val="008F2E71"/>
    <w:rsid w:val="00A11B58"/>
    <w:rsid w:val="00C94C7D"/>
    <w:rsid w:val="00DE5E62"/>
    <w:rsid w:val="00F6105A"/>
    <w:rsid w:val="00F73436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2026-04-10T00:12:00Z</cp:lastPrinted>
  <dcterms:created xsi:type="dcterms:W3CDTF">2026-03-23T18:58:00Z</dcterms:created>
  <dcterms:modified xsi:type="dcterms:W3CDTF">2026-04-10T00:13:00Z</dcterms:modified>
</cp:coreProperties>
</file>